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3F69" w14:textId="436178D0" w:rsidR="00825BE3" w:rsidRDefault="00825BE3" w:rsidP="00D869C0">
      <w:pPr>
        <w:spacing w:after="0" w:line="240" w:lineRule="auto"/>
        <w:jc w:val="center"/>
        <w:rPr>
          <w:rFonts w:ascii="Tahoma" w:hAnsi="Tahoma" w:cs="Tahoma"/>
          <w:b/>
          <w:bCs/>
          <w:sz w:val="32"/>
          <w:szCs w:val="32"/>
        </w:rPr>
      </w:pPr>
      <w:r>
        <w:rPr>
          <w:rFonts w:ascii="Tahoma" w:hAnsi="Tahoma" w:cs="Tahoma"/>
          <w:b/>
          <w:bCs/>
          <w:sz w:val="32"/>
          <w:szCs w:val="32"/>
        </w:rPr>
        <w:t>Sample of Management Fee Structure</w:t>
      </w:r>
      <w:r w:rsidR="00AF718C" w:rsidRPr="008E0695">
        <w:rPr>
          <w:rFonts w:ascii="Tahoma" w:hAnsi="Tahoma" w:cs="Tahoma"/>
          <w:b/>
          <w:bCs/>
          <w:sz w:val="32"/>
          <w:szCs w:val="32"/>
        </w:rPr>
        <w:t xml:space="preserve"> </w:t>
      </w:r>
    </w:p>
    <w:p w14:paraId="3DD4B9D0" w14:textId="5A5F3CCA" w:rsidR="00AF718C" w:rsidRDefault="00D869C0" w:rsidP="00D869C0">
      <w:pPr>
        <w:spacing w:after="0" w:line="240" w:lineRule="auto"/>
        <w:jc w:val="center"/>
        <w:rPr>
          <w:rFonts w:ascii="Tahoma" w:hAnsi="Tahoma" w:cs="Tahoma"/>
          <w:b/>
          <w:bCs/>
          <w:sz w:val="32"/>
          <w:szCs w:val="32"/>
        </w:rPr>
      </w:pPr>
      <w:r>
        <w:rPr>
          <w:rFonts w:ascii="Tahoma" w:hAnsi="Tahoma" w:cs="Tahoma"/>
          <w:b/>
          <w:bCs/>
          <w:sz w:val="32"/>
          <w:szCs w:val="32"/>
        </w:rPr>
        <w:t>f</w:t>
      </w:r>
      <w:r w:rsidR="00AF718C" w:rsidRPr="008E0695">
        <w:rPr>
          <w:rFonts w:ascii="Tahoma" w:hAnsi="Tahoma" w:cs="Tahoma"/>
          <w:b/>
          <w:bCs/>
          <w:sz w:val="32"/>
          <w:szCs w:val="32"/>
        </w:rPr>
        <w:t>or Sub</w:t>
      </w:r>
      <w:r w:rsidR="00AF718C">
        <w:rPr>
          <w:rFonts w:ascii="Tahoma" w:hAnsi="Tahoma" w:cs="Tahoma"/>
          <w:b/>
          <w:bCs/>
          <w:sz w:val="32"/>
          <w:szCs w:val="32"/>
        </w:rPr>
        <w:t>-</w:t>
      </w:r>
      <w:r w:rsidR="00AF718C" w:rsidRPr="008E0695">
        <w:rPr>
          <w:rFonts w:ascii="Tahoma" w:hAnsi="Tahoma" w:cs="Tahoma"/>
          <w:b/>
          <w:bCs/>
          <w:sz w:val="32"/>
          <w:szCs w:val="32"/>
        </w:rPr>
        <w:t>Contracting</w:t>
      </w:r>
      <w:r w:rsidR="00623BD8">
        <w:rPr>
          <w:rFonts w:ascii="Tahoma" w:hAnsi="Tahoma" w:cs="Tahoma"/>
          <w:b/>
          <w:bCs/>
          <w:sz w:val="32"/>
          <w:szCs w:val="32"/>
        </w:rPr>
        <w:t xml:space="preserve"> 2022-23</w:t>
      </w:r>
    </w:p>
    <w:p w14:paraId="17000F4C" w14:textId="7857A0DC" w:rsidR="00D869C0" w:rsidRDefault="00D869C0" w:rsidP="00D869C0">
      <w:pPr>
        <w:spacing w:after="0" w:line="240" w:lineRule="auto"/>
        <w:jc w:val="center"/>
        <w:rPr>
          <w:rFonts w:ascii="Tahoma" w:hAnsi="Tahoma" w:cs="Tahoma"/>
          <w:b/>
          <w:bCs/>
          <w:sz w:val="32"/>
          <w:szCs w:val="32"/>
        </w:rPr>
      </w:pPr>
    </w:p>
    <w:p w14:paraId="54C31859" w14:textId="77777777" w:rsidR="00D869C0" w:rsidRDefault="00D869C0" w:rsidP="00D869C0">
      <w:pPr>
        <w:spacing w:after="0" w:line="240" w:lineRule="auto"/>
        <w:jc w:val="center"/>
        <w:rPr>
          <w:rFonts w:ascii="Tahoma" w:hAnsi="Tahoma" w:cs="Tahoma"/>
          <w:b/>
          <w:bCs/>
          <w:sz w:val="32"/>
          <w:szCs w:val="32"/>
        </w:rPr>
      </w:pPr>
    </w:p>
    <w:p w14:paraId="316488D4" w14:textId="5533C45D" w:rsidR="009E3F7E" w:rsidRPr="00D869C0" w:rsidRDefault="009E3F7E" w:rsidP="009E3F7E">
      <w:pPr>
        <w:spacing w:after="240" w:line="240" w:lineRule="auto"/>
        <w:jc w:val="both"/>
        <w:rPr>
          <w:rFonts w:ascii="Tahoma" w:eastAsia="Times New Roman" w:hAnsi="Tahoma" w:cs="Tahoma"/>
          <w:b/>
          <w:bCs/>
          <w:sz w:val="24"/>
          <w:szCs w:val="24"/>
          <w:lang w:eastAsia="en-GB"/>
        </w:rPr>
      </w:pPr>
      <w:r w:rsidRPr="00D869C0">
        <w:rPr>
          <w:rFonts w:ascii="Tahoma" w:hAnsi="Tahoma" w:cs="Tahoma"/>
          <w:color w:val="000000"/>
          <w:sz w:val="24"/>
          <w:szCs w:val="24"/>
        </w:rPr>
        <w:t xml:space="preserve">The College shall deduct and retain from the Funding an amount calculated in accordance with </w:t>
      </w:r>
      <w:r w:rsidR="0033680E">
        <w:rPr>
          <w:rFonts w:ascii="Tahoma" w:hAnsi="Tahoma" w:cs="Tahoma"/>
          <w:color w:val="000000"/>
          <w:sz w:val="24"/>
          <w:szCs w:val="24"/>
        </w:rPr>
        <w:t>Contract schedule</w:t>
      </w:r>
      <w:r w:rsidRPr="00D869C0">
        <w:rPr>
          <w:rFonts w:ascii="Tahoma" w:hAnsi="Tahoma" w:cs="Tahoma"/>
          <w:color w:val="000000"/>
          <w:sz w:val="24"/>
          <w:szCs w:val="24"/>
        </w:rPr>
        <w:t xml:space="preserve"> by way of quality assurance, administrative support and delivery fees as agreed by both parties.  Further details of how this retained amount is used by the College are set out in </w:t>
      </w:r>
      <w:r w:rsidR="0033680E">
        <w:rPr>
          <w:rFonts w:ascii="Tahoma" w:hAnsi="Tahoma" w:cs="Tahoma"/>
          <w:color w:val="000000"/>
          <w:sz w:val="24"/>
          <w:szCs w:val="24"/>
        </w:rPr>
        <w:t>contract.</w:t>
      </w:r>
    </w:p>
    <w:p w14:paraId="69BD2A75" w14:textId="1C47C30B" w:rsidR="009E3F7E" w:rsidRPr="00D869C0" w:rsidRDefault="00D869C0" w:rsidP="009E3F7E">
      <w:pPr>
        <w:spacing w:after="240" w:line="240" w:lineRule="auto"/>
        <w:jc w:val="both"/>
        <w:rPr>
          <w:rFonts w:ascii="Tahoma" w:eastAsia="Times New Roman" w:hAnsi="Tahoma" w:cs="Tahoma"/>
          <w:b/>
          <w:bCs/>
          <w:sz w:val="28"/>
          <w:szCs w:val="28"/>
          <w:lang w:eastAsia="en-GB"/>
        </w:rPr>
      </w:pPr>
      <w:r w:rsidRPr="00D869C0">
        <w:rPr>
          <w:rFonts w:ascii="Tahoma" w:hAnsi="Tahoma" w:cs="Tahoma"/>
          <w:b/>
          <w:bCs/>
          <w:color w:val="000000"/>
          <w:sz w:val="28"/>
          <w:szCs w:val="28"/>
        </w:rPr>
        <w:t>The College retention of 15% funding per learner (referred to in clause 23.5 of the Operative Provisions of this Agreement) shall be used to account for the College’s own operating, quality assurance and related costs incurred by the College in connection with this Agreement as further particularised below:</w:t>
      </w:r>
    </w:p>
    <w:p w14:paraId="460075B8" w14:textId="31E09073" w:rsidR="00825BE3" w:rsidRPr="009E3F7E" w:rsidRDefault="00825BE3" w:rsidP="003227ED">
      <w:pPr>
        <w:pStyle w:val="ListParagraph"/>
        <w:numPr>
          <w:ilvl w:val="0"/>
          <w:numId w:val="2"/>
        </w:numPr>
        <w:spacing w:after="240" w:line="240" w:lineRule="auto"/>
        <w:jc w:val="both"/>
        <w:rPr>
          <w:rFonts w:ascii="Tahoma" w:eastAsia="Times New Roman" w:hAnsi="Tahoma" w:cs="Tahoma"/>
          <w:b/>
          <w:bCs/>
          <w:sz w:val="28"/>
          <w:szCs w:val="28"/>
          <w:lang w:eastAsia="en-GB"/>
        </w:rPr>
      </w:pPr>
      <w:r w:rsidRPr="009E3F7E">
        <w:rPr>
          <w:rFonts w:ascii="Tahoma" w:eastAsia="Times New Roman" w:hAnsi="Tahoma" w:cs="Tahoma"/>
          <w:b/>
          <w:bCs/>
          <w:color w:val="000000"/>
          <w:sz w:val="28"/>
          <w:szCs w:val="28"/>
          <w:lang w:eastAsia="en-GB"/>
        </w:rPr>
        <w:t>10% processing enrolments, learner registrations, IT platform access for managing learner progress and IT support</w:t>
      </w:r>
    </w:p>
    <w:p w14:paraId="1AB0DD6D" w14:textId="77777777" w:rsidR="00825BE3" w:rsidRPr="00825BE3" w:rsidRDefault="00825BE3" w:rsidP="00825BE3">
      <w:pPr>
        <w:pStyle w:val="ListParagraph"/>
        <w:numPr>
          <w:ilvl w:val="0"/>
          <w:numId w:val="2"/>
        </w:numPr>
        <w:spacing w:after="240" w:line="240" w:lineRule="auto"/>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5% provision of learner materials including handbook and induction support</w:t>
      </w:r>
    </w:p>
    <w:p w14:paraId="0E2B6050" w14:textId="7BE96AB2" w:rsidR="00825BE3" w:rsidRPr="00825BE3" w:rsidRDefault="009E3F7E" w:rsidP="00825BE3">
      <w:pPr>
        <w:pStyle w:val="ListParagraph"/>
        <w:numPr>
          <w:ilvl w:val="0"/>
          <w:numId w:val="2"/>
        </w:numPr>
        <w:spacing w:after="240" w:line="240" w:lineRule="auto"/>
        <w:jc w:val="both"/>
        <w:rPr>
          <w:rFonts w:ascii="Tahoma" w:eastAsia="Times New Roman" w:hAnsi="Tahoma" w:cs="Tahoma"/>
          <w:b/>
          <w:bCs/>
          <w:sz w:val="28"/>
          <w:szCs w:val="28"/>
          <w:lang w:eastAsia="en-GB"/>
        </w:rPr>
      </w:pPr>
      <w:r>
        <w:rPr>
          <w:rFonts w:ascii="Tahoma" w:eastAsia="Times New Roman" w:hAnsi="Tahoma" w:cs="Tahoma"/>
          <w:b/>
          <w:bCs/>
          <w:color w:val="000000"/>
          <w:sz w:val="28"/>
          <w:szCs w:val="28"/>
          <w:lang w:eastAsia="en-GB"/>
        </w:rPr>
        <w:t>4</w:t>
      </w:r>
      <w:r w:rsidR="00825BE3" w:rsidRPr="00825BE3">
        <w:rPr>
          <w:rFonts w:ascii="Tahoma" w:eastAsia="Times New Roman" w:hAnsi="Tahoma" w:cs="Tahoma"/>
          <w:b/>
          <w:bCs/>
          <w:color w:val="000000"/>
          <w:sz w:val="28"/>
          <w:szCs w:val="28"/>
          <w:lang w:eastAsia="en-GB"/>
        </w:rPr>
        <w:t>0% managing the quality of provision including observations, IQA, SAR/QIP monitoring</w:t>
      </w:r>
    </w:p>
    <w:p w14:paraId="311A9C01" w14:textId="77777777" w:rsidR="00825BE3" w:rsidRPr="00825BE3" w:rsidRDefault="00825BE3" w:rsidP="00825BE3">
      <w:pPr>
        <w:pStyle w:val="ListParagraph"/>
        <w:numPr>
          <w:ilvl w:val="0"/>
          <w:numId w:val="2"/>
        </w:numPr>
        <w:spacing w:after="240" w:line="240" w:lineRule="auto"/>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30% management of the subcontract including contract meetings, operational management meetings, performance management reviews, performance monitoring</w:t>
      </w:r>
    </w:p>
    <w:p w14:paraId="64DF9C04" w14:textId="77777777" w:rsidR="00825BE3" w:rsidRPr="00825BE3" w:rsidRDefault="00825BE3" w:rsidP="00825BE3">
      <w:pPr>
        <w:pStyle w:val="ListParagraph"/>
        <w:numPr>
          <w:ilvl w:val="0"/>
          <w:numId w:val="2"/>
        </w:numPr>
        <w:spacing w:after="240" w:line="240" w:lineRule="auto"/>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0% delivery of specific training……………………………. (list)</w:t>
      </w:r>
    </w:p>
    <w:p w14:paraId="7171347F" w14:textId="77777777" w:rsidR="00825BE3" w:rsidRPr="00825BE3" w:rsidRDefault="00825BE3" w:rsidP="00825BE3">
      <w:pPr>
        <w:pStyle w:val="ListParagraph"/>
        <w:numPr>
          <w:ilvl w:val="0"/>
          <w:numId w:val="2"/>
        </w:numPr>
        <w:spacing w:before="240" w:after="240" w:line="240" w:lineRule="auto"/>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0% provision of specific delivery equipment or materials…………………………………. (list)</w:t>
      </w:r>
    </w:p>
    <w:p w14:paraId="1EF7CD52" w14:textId="77777777" w:rsidR="00825BE3" w:rsidRPr="00825BE3" w:rsidRDefault="00825BE3" w:rsidP="00825BE3">
      <w:pPr>
        <w:pStyle w:val="ListParagraph"/>
        <w:numPr>
          <w:ilvl w:val="0"/>
          <w:numId w:val="2"/>
        </w:numPr>
        <w:spacing w:before="240" w:after="240" w:line="240" w:lineRule="auto"/>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15% provision of learner support by College teams and access to College facilities and resources</w:t>
      </w:r>
    </w:p>
    <w:p w14:paraId="238C8CE5" w14:textId="77777777" w:rsidR="00825BE3" w:rsidRPr="00825BE3" w:rsidRDefault="00825BE3" w:rsidP="00825BE3">
      <w:pPr>
        <w:spacing w:after="240" w:line="240" w:lineRule="auto"/>
        <w:ind w:left="-2" w:hanging="2"/>
        <w:jc w:val="both"/>
        <w:rPr>
          <w:rFonts w:ascii="Tahoma" w:eastAsia="Times New Roman" w:hAnsi="Tahoma" w:cs="Tahoma"/>
          <w:b/>
          <w:bCs/>
          <w:sz w:val="28"/>
          <w:szCs w:val="28"/>
          <w:lang w:eastAsia="en-GB"/>
        </w:rPr>
      </w:pPr>
      <w:r w:rsidRPr="00825BE3">
        <w:rPr>
          <w:rFonts w:ascii="Tahoma" w:eastAsia="Times New Roman" w:hAnsi="Tahoma" w:cs="Tahoma"/>
          <w:b/>
          <w:bCs/>
          <w:color w:val="000000"/>
          <w:sz w:val="28"/>
          <w:szCs w:val="28"/>
          <w:lang w:eastAsia="en-GB"/>
        </w:rPr>
        <w:t>These costs represent reasonable and proportionate costs based on the management and support required to deliver this programme.</w:t>
      </w:r>
    </w:p>
    <w:p w14:paraId="19BDC2F6" w14:textId="77777777" w:rsidR="00C048DB" w:rsidRDefault="00C048DB" w:rsidP="00825BE3">
      <w:pPr>
        <w:pStyle w:val="NormalWeb"/>
        <w:numPr>
          <w:ilvl w:val="0"/>
          <w:numId w:val="1"/>
        </w:numPr>
        <w:shd w:val="clear" w:color="auto" w:fill="FFFFFF"/>
        <w:spacing w:before="0" w:beforeAutospacing="0" w:after="0" w:afterAutospacing="0"/>
        <w:ind w:left="714" w:hanging="357"/>
      </w:pPr>
    </w:p>
    <w:sectPr w:rsidR="00C048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E05C" w14:textId="77777777" w:rsidR="0079374E" w:rsidRDefault="0079374E" w:rsidP="00AF718C">
      <w:pPr>
        <w:spacing w:after="0" w:line="240" w:lineRule="auto"/>
      </w:pPr>
      <w:r>
        <w:separator/>
      </w:r>
    </w:p>
  </w:endnote>
  <w:endnote w:type="continuationSeparator" w:id="0">
    <w:p w14:paraId="600EC465" w14:textId="77777777" w:rsidR="0079374E" w:rsidRDefault="0079374E" w:rsidP="00A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A152" w14:textId="77777777" w:rsidR="00AF718C" w:rsidRDefault="00AF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E78" w14:textId="77777777" w:rsidR="00AF718C" w:rsidRDefault="00AF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B067" w14:textId="77777777" w:rsidR="00AF718C" w:rsidRDefault="00AF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57AB" w14:textId="77777777" w:rsidR="0079374E" w:rsidRDefault="0079374E" w:rsidP="00AF718C">
      <w:pPr>
        <w:spacing w:after="0" w:line="240" w:lineRule="auto"/>
      </w:pPr>
      <w:r>
        <w:separator/>
      </w:r>
    </w:p>
  </w:footnote>
  <w:footnote w:type="continuationSeparator" w:id="0">
    <w:p w14:paraId="0C3DDD64" w14:textId="77777777" w:rsidR="0079374E" w:rsidRDefault="0079374E" w:rsidP="00AF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40C" w14:textId="77777777" w:rsidR="00AF718C" w:rsidRDefault="00AF7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DB91" w14:textId="69E7DB59" w:rsidR="00AF718C" w:rsidRDefault="00AF718C">
    <w:pPr>
      <w:pStyle w:val="Header"/>
    </w:pPr>
    <w:r>
      <w:rPr>
        <w:rFonts w:ascii="Calibri" w:hAnsi="Calibri" w:cs="Calibri"/>
        <w:noProof/>
        <w:color w:val="000000"/>
        <w:sz w:val="20"/>
        <w:szCs w:val="20"/>
        <w:bdr w:val="none" w:sz="0" w:space="0" w:color="auto" w:frame="1"/>
      </w:rPr>
      <w:drawing>
        <wp:inline distT="0" distB="0" distL="0" distR="0" wp14:anchorId="7ED6D233" wp14:editId="2A700EEE">
          <wp:extent cx="5731510" cy="278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8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AE3" w14:textId="77777777" w:rsidR="00AF718C" w:rsidRDefault="00AF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B0D"/>
    <w:multiLevelType w:val="hybridMultilevel"/>
    <w:tmpl w:val="32926EE4"/>
    <w:lvl w:ilvl="0" w:tplc="3BF0DF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64198A"/>
    <w:multiLevelType w:val="hybridMultilevel"/>
    <w:tmpl w:val="106EB314"/>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16cid:durableId="264001616">
    <w:abstractNumId w:val="0"/>
  </w:num>
  <w:num w:numId="2" w16cid:durableId="59336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8C"/>
    <w:rsid w:val="0033680E"/>
    <w:rsid w:val="00623BD8"/>
    <w:rsid w:val="0079374E"/>
    <w:rsid w:val="00825BE3"/>
    <w:rsid w:val="00997CDA"/>
    <w:rsid w:val="009E3F7E"/>
    <w:rsid w:val="00AF718C"/>
    <w:rsid w:val="00C048DB"/>
    <w:rsid w:val="00D8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1CBE"/>
  <w15:chartTrackingRefBased/>
  <w15:docId w15:val="{B098189E-85E2-469C-9B3B-CE8E6602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1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8C"/>
  </w:style>
  <w:style w:type="paragraph" w:styleId="Footer">
    <w:name w:val="footer"/>
    <w:basedOn w:val="Normal"/>
    <w:link w:val="FooterChar"/>
    <w:uiPriority w:val="99"/>
    <w:unhideWhenUsed/>
    <w:rsid w:val="00AF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8C"/>
  </w:style>
  <w:style w:type="paragraph" w:styleId="ListParagraph">
    <w:name w:val="List Paragraph"/>
    <w:basedOn w:val="Normal"/>
    <w:uiPriority w:val="34"/>
    <w:qFormat/>
    <w:rsid w:val="0082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4</cp:revision>
  <dcterms:created xsi:type="dcterms:W3CDTF">2022-06-07T10:37:00Z</dcterms:created>
  <dcterms:modified xsi:type="dcterms:W3CDTF">2023-04-25T12:48:00Z</dcterms:modified>
</cp:coreProperties>
</file>