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E4A3" w14:textId="77777777" w:rsidR="009A0819" w:rsidRDefault="009A0819" w:rsidP="00860F98">
      <w:pPr>
        <w:tabs>
          <w:tab w:val="left" w:pos="1159"/>
        </w:tabs>
        <w:rPr>
          <w:rFonts w:ascii="Tahoma" w:hAnsi="Tahoma" w:cs="Tahoma"/>
        </w:rPr>
      </w:pPr>
    </w:p>
    <w:p w14:paraId="2DE49BC1" w14:textId="77777777" w:rsidR="009A0819" w:rsidRDefault="009A0819" w:rsidP="00860F98">
      <w:pPr>
        <w:tabs>
          <w:tab w:val="left" w:pos="1159"/>
        </w:tabs>
        <w:rPr>
          <w:rFonts w:ascii="Tahoma" w:hAnsi="Tahoma" w:cs="Tahoma"/>
        </w:rPr>
      </w:pPr>
    </w:p>
    <w:p w14:paraId="7B8B38C9" w14:textId="6F45A654" w:rsidR="00653903" w:rsidRPr="003A628B" w:rsidRDefault="009A0819" w:rsidP="009A0819">
      <w:pPr>
        <w:tabs>
          <w:tab w:val="left" w:pos="1159"/>
        </w:tabs>
        <w:jc w:val="center"/>
        <w:rPr>
          <w:rFonts w:ascii="Tahoma" w:hAnsi="Tahoma" w:cs="Tahoma"/>
          <w:b/>
          <w:bCs/>
          <w:sz w:val="32"/>
          <w:szCs w:val="32"/>
        </w:rPr>
      </w:pPr>
      <w:r w:rsidRPr="003A628B">
        <w:rPr>
          <w:rFonts w:ascii="Tahoma" w:hAnsi="Tahoma" w:cs="Tahoma"/>
          <w:b/>
          <w:bCs/>
          <w:sz w:val="32"/>
          <w:szCs w:val="32"/>
        </w:rPr>
        <w:t>Sub-contracting Contingency Plan</w:t>
      </w:r>
    </w:p>
    <w:p w14:paraId="0F9AB5B5" w14:textId="542DDB3F" w:rsidR="009A0819" w:rsidRDefault="009A0819" w:rsidP="009A0819">
      <w:pPr>
        <w:tabs>
          <w:tab w:val="left" w:pos="1159"/>
        </w:tabs>
        <w:jc w:val="both"/>
        <w:rPr>
          <w:rFonts w:ascii="Tahoma" w:hAnsi="Tahoma" w:cs="Tahoma"/>
          <w:sz w:val="28"/>
          <w:szCs w:val="28"/>
        </w:rPr>
      </w:pPr>
    </w:p>
    <w:p w14:paraId="7E40E5B6" w14:textId="0BD0C041" w:rsidR="009A0819" w:rsidRPr="003A628B" w:rsidRDefault="009A0819" w:rsidP="009A0819">
      <w:pPr>
        <w:tabs>
          <w:tab w:val="left" w:pos="1159"/>
        </w:tabs>
        <w:spacing w:after="0" w:line="240" w:lineRule="auto"/>
        <w:jc w:val="both"/>
        <w:rPr>
          <w:rFonts w:ascii="Tahoma" w:hAnsi="Tahoma" w:cs="Tahoma"/>
          <w:b/>
          <w:bCs/>
          <w:sz w:val="28"/>
          <w:szCs w:val="28"/>
        </w:rPr>
      </w:pPr>
      <w:r w:rsidRPr="003A628B">
        <w:rPr>
          <w:rFonts w:ascii="Tahoma" w:hAnsi="Tahoma" w:cs="Tahoma"/>
          <w:b/>
          <w:bCs/>
          <w:sz w:val="28"/>
          <w:szCs w:val="28"/>
        </w:rPr>
        <w:t>See individual sub-contractors’ annual contract which stipulates specific actions to be taken.</w:t>
      </w:r>
    </w:p>
    <w:p w14:paraId="1EA808FA" w14:textId="2F6D18AB" w:rsidR="009A0819" w:rsidRDefault="009A0819" w:rsidP="009A0819">
      <w:pPr>
        <w:tabs>
          <w:tab w:val="left" w:pos="1159"/>
        </w:tabs>
        <w:spacing w:after="0" w:line="240" w:lineRule="auto"/>
        <w:jc w:val="both"/>
        <w:rPr>
          <w:rFonts w:ascii="Tahoma" w:hAnsi="Tahoma" w:cs="Tahoma"/>
          <w:b/>
          <w:bCs/>
        </w:rPr>
      </w:pPr>
    </w:p>
    <w:p w14:paraId="0758144B" w14:textId="3344C33C" w:rsidR="009A0819" w:rsidRDefault="009A0819" w:rsidP="009A0819">
      <w:pPr>
        <w:tabs>
          <w:tab w:val="left" w:pos="1159"/>
        </w:tabs>
        <w:spacing w:after="0" w:line="240" w:lineRule="auto"/>
        <w:jc w:val="both"/>
        <w:rPr>
          <w:rFonts w:ascii="Tahoma" w:hAnsi="Tahoma" w:cs="Tahoma"/>
          <w:sz w:val="24"/>
          <w:szCs w:val="24"/>
        </w:rPr>
      </w:pPr>
      <w:r w:rsidRPr="003A628B">
        <w:rPr>
          <w:rFonts w:ascii="Tahoma" w:hAnsi="Tahoma" w:cs="Tahoma"/>
          <w:sz w:val="24"/>
          <w:szCs w:val="24"/>
        </w:rPr>
        <w:t>The following actions to be considered dependent on the type of learning – AEB, FE, Apprenticeships:</w:t>
      </w:r>
    </w:p>
    <w:p w14:paraId="7002A5F1" w14:textId="77777777" w:rsidR="003A628B" w:rsidRPr="003A628B" w:rsidRDefault="003A628B" w:rsidP="009A0819">
      <w:pPr>
        <w:tabs>
          <w:tab w:val="left" w:pos="1159"/>
        </w:tabs>
        <w:spacing w:after="0" w:line="240" w:lineRule="auto"/>
        <w:jc w:val="both"/>
        <w:rPr>
          <w:rFonts w:ascii="Tahoma" w:hAnsi="Tahoma" w:cs="Tahoma"/>
          <w:sz w:val="24"/>
          <w:szCs w:val="24"/>
        </w:rPr>
      </w:pPr>
    </w:p>
    <w:p w14:paraId="7EF8AF42" w14:textId="55F8B364" w:rsidR="003A628B" w:rsidRPr="003A628B" w:rsidRDefault="003A628B" w:rsidP="003A628B">
      <w:pPr>
        <w:spacing w:after="0" w:line="240" w:lineRule="auto"/>
        <w:ind w:left="720"/>
        <w:jc w:val="both"/>
        <w:rPr>
          <w:rFonts w:ascii="Tahoma" w:eastAsia="Times New Roman" w:hAnsi="Tahoma" w:cs="Tahoma"/>
          <w:color w:val="000000"/>
          <w:sz w:val="24"/>
          <w:szCs w:val="24"/>
          <w:lang w:eastAsia="en-GB"/>
        </w:rPr>
      </w:pPr>
      <w:r w:rsidRPr="003A628B">
        <w:rPr>
          <w:rFonts w:ascii="Tahoma" w:eastAsia="Times New Roman" w:hAnsi="Tahoma" w:cs="Tahoma"/>
          <w:color w:val="000000"/>
          <w:sz w:val="24"/>
          <w:szCs w:val="24"/>
          <w:lang w:eastAsia="en-GB"/>
        </w:rPr>
        <w:t>If action required is in response to a temporary situation</w:t>
      </w:r>
      <w:r w:rsidRPr="003A628B">
        <w:rPr>
          <w:rFonts w:ascii="Tahoma" w:eastAsia="Times New Roman" w:hAnsi="Tahoma" w:cs="Tahoma"/>
          <w:color w:val="000000"/>
          <w:sz w:val="24"/>
          <w:szCs w:val="24"/>
          <w:lang w:eastAsia="en-GB"/>
        </w:rPr>
        <w:t>,</w:t>
      </w:r>
      <w:r w:rsidRPr="003A628B">
        <w:rPr>
          <w:rFonts w:ascii="Tahoma" w:eastAsia="Times New Roman" w:hAnsi="Tahoma" w:cs="Tahoma"/>
          <w:color w:val="000000"/>
          <w:sz w:val="24"/>
          <w:szCs w:val="24"/>
          <w:lang w:eastAsia="en-GB"/>
        </w:rPr>
        <w:t xml:space="preserve"> then a specific contingency plan will be developed and implemented. Examples could be</w:t>
      </w:r>
      <w:r w:rsidRPr="003A628B">
        <w:rPr>
          <w:rFonts w:ascii="Tahoma" w:eastAsia="Times New Roman" w:hAnsi="Tahoma" w:cs="Tahoma"/>
          <w:color w:val="000000"/>
          <w:sz w:val="24"/>
          <w:szCs w:val="24"/>
          <w:lang w:eastAsia="en-GB"/>
        </w:rPr>
        <w:t xml:space="preserve"> -</w:t>
      </w:r>
      <w:r w:rsidRPr="003A628B">
        <w:rPr>
          <w:rFonts w:ascii="Tahoma" w:eastAsia="Times New Roman" w:hAnsi="Tahoma" w:cs="Tahoma"/>
          <w:color w:val="000000"/>
          <w:sz w:val="24"/>
          <w:szCs w:val="24"/>
          <w:lang w:eastAsia="en-GB"/>
        </w:rPr>
        <w:t xml:space="preserve"> short term EQA action; provider building unavailable; provider staff unavailable; poor College audit result on subcontractor</w:t>
      </w:r>
    </w:p>
    <w:p w14:paraId="574DC59E" w14:textId="082788D2" w:rsidR="009A0819" w:rsidRDefault="009A0819" w:rsidP="009A0819">
      <w:pPr>
        <w:tabs>
          <w:tab w:val="left" w:pos="1159"/>
        </w:tabs>
        <w:jc w:val="both"/>
        <w:rPr>
          <w:rFonts w:ascii="Tahoma" w:hAnsi="Tahoma" w:cs="Tahoma"/>
        </w:rPr>
      </w:pPr>
    </w:p>
    <w:p w14:paraId="706AEF23" w14:textId="5164F6CB" w:rsidR="003A628B" w:rsidRDefault="003A628B" w:rsidP="009A0819">
      <w:pPr>
        <w:tabs>
          <w:tab w:val="left" w:pos="1159"/>
        </w:tabs>
        <w:jc w:val="both"/>
        <w:rPr>
          <w:rFonts w:ascii="Tahoma" w:hAnsi="Tahoma" w:cs="Tahoma"/>
        </w:rPr>
      </w:pPr>
    </w:p>
    <w:p w14:paraId="295CA4EF" w14:textId="623040D6" w:rsidR="003A628B" w:rsidRDefault="003A628B" w:rsidP="009A0819">
      <w:pPr>
        <w:tabs>
          <w:tab w:val="left" w:pos="1159"/>
        </w:tabs>
        <w:jc w:val="both"/>
        <w:rPr>
          <w:rFonts w:ascii="Tahoma" w:hAnsi="Tahoma" w:cs="Tahoma"/>
        </w:rPr>
      </w:pPr>
    </w:p>
    <w:p w14:paraId="70342DAD" w14:textId="1CC9412F" w:rsidR="003A628B" w:rsidRDefault="003A628B" w:rsidP="009A0819">
      <w:pPr>
        <w:tabs>
          <w:tab w:val="left" w:pos="1159"/>
        </w:tabs>
        <w:jc w:val="both"/>
        <w:rPr>
          <w:rFonts w:ascii="Tahoma" w:hAnsi="Tahoma" w:cs="Tahoma"/>
        </w:rPr>
      </w:pPr>
    </w:p>
    <w:p w14:paraId="6FD65AF3" w14:textId="0D6C02EF" w:rsidR="003A628B" w:rsidRDefault="003A628B" w:rsidP="009A0819">
      <w:pPr>
        <w:tabs>
          <w:tab w:val="left" w:pos="1159"/>
        </w:tabs>
        <w:jc w:val="both"/>
        <w:rPr>
          <w:rFonts w:ascii="Tahoma" w:hAnsi="Tahoma" w:cs="Tahoma"/>
        </w:rPr>
      </w:pPr>
    </w:p>
    <w:p w14:paraId="03B9389C" w14:textId="73BD6B78" w:rsidR="003A628B" w:rsidRDefault="003A628B" w:rsidP="009A0819">
      <w:pPr>
        <w:tabs>
          <w:tab w:val="left" w:pos="1159"/>
        </w:tabs>
        <w:jc w:val="both"/>
        <w:rPr>
          <w:rFonts w:ascii="Tahoma" w:hAnsi="Tahoma" w:cs="Tahoma"/>
        </w:rPr>
      </w:pPr>
    </w:p>
    <w:p w14:paraId="44D0E0A4" w14:textId="1C46CBC5" w:rsidR="003A628B" w:rsidRDefault="003A628B" w:rsidP="009A0819">
      <w:pPr>
        <w:tabs>
          <w:tab w:val="left" w:pos="1159"/>
        </w:tabs>
        <w:jc w:val="both"/>
        <w:rPr>
          <w:rFonts w:ascii="Tahoma" w:hAnsi="Tahoma" w:cs="Tahoma"/>
        </w:rPr>
      </w:pPr>
    </w:p>
    <w:p w14:paraId="63041663" w14:textId="2EDBBB4B" w:rsidR="003A628B" w:rsidRDefault="003A628B" w:rsidP="009A0819">
      <w:pPr>
        <w:tabs>
          <w:tab w:val="left" w:pos="1159"/>
        </w:tabs>
        <w:jc w:val="both"/>
        <w:rPr>
          <w:rFonts w:ascii="Tahoma" w:hAnsi="Tahoma" w:cs="Tahoma"/>
        </w:rPr>
      </w:pPr>
    </w:p>
    <w:p w14:paraId="3EACF23B" w14:textId="0BD58DF0" w:rsidR="003A628B" w:rsidRDefault="003A628B" w:rsidP="009A0819">
      <w:pPr>
        <w:tabs>
          <w:tab w:val="left" w:pos="1159"/>
        </w:tabs>
        <w:jc w:val="both"/>
        <w:rPr>
          <w:rFonts w:ascii="Tahoma" w:hAnsi="Tahoma" w:cs="Tahoma"/>
        </w:rPr>
      </w:pPr>
    </w:p>
    <w:p w14:paraId="1AB2F520" w14:textId="5E72844C" w:rsidR="003A628B" w:rsidRDefault="003A628B" w:rsidP="009A0819">
      <w:pPr>
        <w:tabs>
          <w:tab w:val="left" w:pos="1159"/>
        </w:tabs>
        <w:jc w:val="both"/>
        <w:rPr>
          <w:rFonts w:ascii="Tahoma" w:hAnsi="Tahoma" w:cs="Tahoma"/>
        </w:rPr>
      </w:pPr>
    </w:p>
    <w:p w14:paraId="6A4A2FDF" w14:textId="3B1B7D2A" w:rsidR="003A628B" w:rsidRDefault="003A628B" w:rsidP="009A0819">
      <w:pPr>
        <w:tabs>
          <w:tab w:val="left" w:pos="1159"/>
        </w:tabs>
        <w:jc w:val="both"/>
        <w:rPr>
          <w:rFonts w:ascii="Tahoma" w:hAnsi="Tahoma" w:cs="Tahoma"/>
        </w:rPr>
      </w:pPr>
    </w:p>
    <w:p w14:paraId="289D9777" w14:textId="40C87697" w:rsidR="003A628B" w:rsidRDefault="003A628B" w:rsidP="009A0819">
      <w:pPr>
        <w:tabs>
          <w:tab w:val="left" w:pos="1159"/>
        </w:tabs>
        <w:jc w:val="both"/>
        <w:rPr>
          <w:rFonts w:ascii="Tahoma" w:hAnsi="Tahoma" w:cs="Tahoma"/>
        </w:rPr>
      </w:pPr>
    </w:p>
    <w:p w14:paraId="657A47D5" w14:textId="1F22B370" w:rsidR="003A628B" w:rsidRDefault="003A628B" w:rsidP="009A0819">
      <w:pPr>
        <w:tabs>
          <w:tab w:val="left" w:pos="1159"/>
        </w:tabs>
        <w:jc w:val="both"/>
        <w:rPr>
          <w:rFonts w:ascii="Tahoma" w:hAnsi="Tahoma" w:cs="Tahoma"/>
        </w:rPr>
      </w:pPr>
    </w:p>
    <w:p w14:paraId="114A893C" w14:textId="737F8974" w:rsidR="003A628B" w:rsidRDefault="003A628B" w:rsidP="009A0819">
      <w:pPr>
        <w:tabs>
          <w:tab w:val="left" w:pos="1159"/>
        </w:tabs>
        <w:jc w:val="both"/>
        <w:rPr>
          <w:rFonts w:ascii="Tahoma" w:hAnsi="Tahoma" w:cs="Tahoma"/>
        </w:rPr>
      </w:pPr>
    </w:p>
    <w:p w14:paraId="7EC90BFE" w14:textId="01DDFC00" w:rsidR="003A628B" w:rsidRDefault="003A628B" w:rsidP="009A0819">
      <w:pPr>
        <w:tabs>
          <w:tab w:val="left" w:pos="1159"/>
        </w:tabs>
        <w:jc w:val="both"/>
        <w:rPr>
          <w:rFonts w:ascii="Tahoma" w:hAnsi="Tahoma" w:cs="Tahoma"/>
        </w:rPr>
      </w:pPr>
    </w:p>
    <w:p w14:paraId="275A43B0" w14:textId="77777777" w:rsidR="003A628B" w:rsidRDefault="003A628B" w:rsidP="009A0819">
      <w:pPr>
        <w:tabs>
          <w:tab w:val="left" w:pos="1159"/>
        </w:tabs>
        <w:jc w:val="both"/>
        <w:rPr>
          <w:rFonts w:ascii="Tahoma" w:hAnsi="Tahoma" w:cs="Tahoma"/>
        </w:rPr>
        <w:sectPr w:rsidR="003A628B" w:rsidSect="003A628B">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8" w:footer="708" w:gutter="0"/>
          <w:pgBorders w:offsetFrom="page">
            <w:top w:val="triple" w:sz="4" w:space="24" w:color="92D050"/>
            <w:left w:val="triple" w:sz="4" w:space="24" w:color="92D050"/>
            <w:bottom w:val="triple" w:sz="4" w:space="24" w:color="92D050"/>
            <w:right w:val="triple" w:sz="4" w:space="24" w:color="92D050"/>
          </w:pgBorders>
          <w:cols w:space="708"/>
          <w:docGrid w:linePitch="360"/>
        </w:sectPr>
      </w:pPr>
    </w:p>
    <w:tbl>
      <w:tblPr>
        <w:tblW w:w="15260" w:type="dxa"/>
        <w:tblInd w:w="113" w:type="dxa"/>
        <w:tblLook w:val="04A0" w:firstRow="1" w:lastRow="0" w:firstColumn="1" w:lastColumn="0" w:noHBand="0" w:noVBand="1"/>
      </w:tblPr>
      <w:tblGrid>
        <w:gridCol w:w="2600"/>
        <w:gridCol w:w="3020"/>
        <w:gridCol w:w="9640"/>
      </w:tblGrid>
      <w:tr w:rsidR="00FC78FD" w:rsidRPr="00FC78FD" w14:paraId="0C096153" w14:textId="77777777" w:rsidTr="00FC78FD">
        <w:trPr>
          <w:trHeight w:val="540"/>
        </w:trPr>
        <w:tc>
          <w:tcPr>
            <w:tcW w:w="2600" w:type="dxa"/>
            <w:tcBorders>
              <w:top w:val="single" w:sz="4" w:space="0" w:color="000000"/>
              <w:left w:val="single" w:sz="4" w:space="0" w:color="000000"/>
              <w:bottom w:val="single" w:sz="4" w:space="0" w:color="000000"/>
              <w:right w:val="single" w:sz="4" w:space="0" w:color="000000"/>
            </w:tcBorders>
            <w:shd w:val="clear" w:color="auto" w:fill="auto"/>
            <w:hideMark/>
          </w:tcPr>
          <w:p w14:paraId="516DC385" w14:textId="77777777" w:rsidR="00FC78FD" w:rsidRPr="00FC78FD" w:rsidRDefault="00FC78FD" w:rsidP="00FC78FD">
            <w:pPr>
              <w:spacing w:after="0" w:line="240" w:lineRule="auto"/>
              <w:jc w:val="center"/>
              <w:rPr>
                <w:rFonts w:ascii="Tahoma" w:eastAsia="Times New Roman" w:hAnsi="Tahoma" w:cs="Tahoma"/>
                <w:b/>
                <w:bCs/>
                <w:color w:val="000000"/>
                <w:lang w:eastAsia="en-GB"/>
              </w:rPr>
            </w:pPr>
            <w:r w:rsidRPr="00FC78FD">
              <w:rPr>
                <w:rFonts w:ascii="Tahoma" w:eastAsia="Times New Roman" w:hAnsi="Tahoma" w:cs="Tahoma"/>
                <w:b/>
                <w:bCs/>
                <w:color w:val="000000"/>
                <w:lang w:eastAsia="en-GB"/>
              </w:rPr>
              <w:lastRenderedPageBreak/>
              <w:t>Area</w:t>
            </w:r>
          </w:p>
        </w:tc>
        <w:tc>
          <w:tcPr>
            <w:tcW w:w="3020" w:type="dxa"/>
            <w:tcBorders>
              <w:top w:val="single" w:sz="4" w:space="0" w:color="000000"/>
              <w:left w:val="nil"/>
              <w:bottom w:val="single" w:sz="4" w:space="0" w:color="000000"/>
              <w:right w:val="single" w:sz="4" w:space="0" w:color="000000"/>
            </w:tcBorders>
            <w:shd w:val="clear" w:color="auto" w:fill="auto"/>
            <w:hideMark/>
          </w:tcPr>
          <w:p w14:paraId="7AF2B3AF" w14:textId="77777777" w:rsidR="00FC78FD" w:rsidRPr="00FC78FD" w:rsidRDefault="00FC78FD" w:rsidP="00FC78FD">
            <w:pPr>
              <w:spacing w:after="0" w:line="240" w:lineRule="auto"/>
              <w:jc w:val="center"/>
              <w:rPr>
                <w:rFonts w:ascii="Tahoma" w:eastAsia="Times New Roman" w:hAnsi="Tahoma" w:cs="Tahoma"/>
                <w:b/>
                <w:bCs/>
                <w:color w:val="000000"/>
                <w:lang w:eastAsia="en-GB"/>
              </w:rPr>
            </w:pPr>
            <w:r w:rsidRPr="00FC78FD">
              <w:rPr>
                <w:rFonts w:ascii="Tahoma" w:eastAsia="Times New Roman" w:hAnsi="Tahoma" w:cs="Tahoma"/>
                <w:b/>
                <w:bCs/>
                <w:color w:val="000000"/>
                <w:lang w:eastAsia="en-GB"/>
              </w:rPr>
              <w:t>Details</w:t>
            </w:r>
          </w:p>
        </w:tc>
        <w:tc>
          <w:tcPr>
            <w:tcW w:w="9640" w:type="dxa"/>
            <w:tcBorders>
              <w:top w:val="single" w:sz="4" w:space="0" w:color="000000"/>
              <w:left w:val="nil"/>
              <w:bottom w:val="single" w:sz="4" w:space="0" w:color="000000"/>
              <w:right w:val="single" w:sz="4" w:space="0" w:color="000000"/>
            </w:tcBorders>
            <w:shd w:val="clear" w:color="auto" w:fill="auto"/>
            <w:hideMark/>
          </w:tcPr>
          <w:p w14:paraId="4BE42FC4" w14:textId="77777777" w:rsidR="00FC78FD" w:rsidRPr="00FC78FD" w:rsidRDefault="00FC78FD" w:rsidP="00FC78FD">
            <w:pPr>
              <w:spacing w:after="0" w:line="240" w:lineRule="auto"/>
              <w:jc w:val="center"/>
              <w:rPr>
                <w:rFonts w:ascii="Tahoma" w:eastAsia="Times New Roman" w:hAnsi="Tahoma" w:cs="Tahoma"/>
                <w:b/>
                <w:bCs/>
                <w:color w:val="000000"/>
                <w:lang w:eastAsia="en-GB"/>
              </w:rPr>
            </w:pPr>
            <w:r w:rsidRPr="00FC78FD">
              <w:rPr>
                <w:rFonts w:ascii="Tahoma" w:eastAsia="Times New Roman" w:hAnsi="Tahoma" w:cs="Tahoma"/>
                <w:b/>
                <w:bCs/>
                <w:color w:val="000000"/>
                <w:lang w:eastAsia="en-GB"/>
              </w:rPr>
              <w:t>WITHDRAWAL: Action required to transfer all learners and provision to College or alternative provider eg removal from RoATP, ROTO</w:t>
            </w:r>
          </w:p>
        </w:tc>
      </w:tr>
      <w:tr w:rsidR="00FC78FD" w:rsidRPr="00FC78FD" w14:paraId="1AD2BD7A" w14:textId="77777777" w:rsidTr="00FC78FD">
        <w:trPr>
          <w:trHeight w:val="744"/>
        </w:trPr>
        <w:tc>
          <w:tcPr>
            <w:tcW w:w="2600" w:type="dxa"/>
            <w:tcBorders>
              <w:top w:val="nil"/>
              <w:left w:val="single" w:sz="4" w:space="0" w:color="000000"/>
              <w:bottom w:val="single" w:sz="4" w:space="0" w:color="000000"/>
              <w:right w:val="single" w:sz="4" w:space="0" w:color="000000"/>
            </w:tcBorders>
            <w:shd w:val="clear" w:color="auto" w:fill="auto"/>
            <w:hideMark/>
          </w:tcPr>
          <w:p w14:paraId="5EE76EF0"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Individuals</w:t>
            </w:r>
          </w:p>
        </w:tc>
        <w:tc>
          <w:tcPr>
            <w:tcW w:w="3020" w:type="dxa"/>
            <w:tcBorders>
              <w:top w:val="nil"/>
              <w:left w:val="nil"/>
              <w:bottom w:val="single" w:sz="4" w:space="0" w:color="000000"/>
              <w:right w:val="single" w:sz="4" w:space="0" w:color="000000"/>
            </w:tcBorders>
            <w:shd w:val="clear" w:color="auto" w:fill="auto"/>
            <w:hideMark/>
          </w:tcPr>
          <w:p w14:paraId="6F97D975"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To ensure continuity of learning</w:t>
            </w:r>
          </w:p>
        </w:tc>
        <w:tc>
          <w:tcPr>
            <w:tcW w:w="9640" w:type="dxa"/>
            <w:tcBorders>
              <w:top w:val="nil"/>
              <w:left w:val="nil"/>
              <w:bottom w:val="single" w:sz="4" w:space="0" w:color="000000"/>
              <w:right w:val="single" w:sz="4" w:space="0" w:color="000000"/>
            </w:tcBorders>
            <w:shd w:val="clear" w:color="auto" w:fill="auto"/>
            <w:hideMark/>
          </w:tcPr>
          <w:p w14:paraId="2F7E4967"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Notify learners of transfer; arrange for College or other provider to finish delivery of programme; communicate with learners; carry out transfers to new provider/College</w:t>
            </w:r>
          </w:p>
        </w:tc>
      </w:tr>
      <w:tr w:rsidR="00FC78FD" w:rsidRPr="00FC78FD" w14:paraId="23EECDED" w14:textId="77777777" w:rsidTr="00FC78FD">
        <w:trPr>
          <w:trHeight w:val="876"/>
        </w:trPr>
        <w:tc>
          <w:tcPr>
            <w:tcW w:w="2600" w:type="dxa"/>
            <w:tcBorders>
              <w:top w:val="nil"/>
              <w:left w:val="single" w:sz="4" w:space="0" w:color="000000"/>
              <w:bottom w:val="single" w:sz="4" w:space="0" w:color="000000"/>
              <w:right w:val="single" w:sz="4" w:space="0" w:color="000000"/>
            </w:tcBorders>
            <w:shd w:val="clear" w:color="auto" w:fill="auto"/>
            <w:hideMark/>
          </w:tcPr>
          <w:p w14:paraId="21BBA89F"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Employers</w:t>
            </w:r>
          </w:p>
        </w:tc>
        <w:tc>
          <w:tcPr>
            <w:tcW w:w="3020" w:type="dxa"/>
            <w:tcBorders>
              <w:top w:val="nil"/>
              <w:left w:val="nil"/>
              <w:bottom w:val="single" w:sz="4" w:space="0" w:color="000000"/>
              <w:right w:val="single" w:sz="4" w:space="0" w:color="000000"/>
            </w:tcBorders>
            <w:shd w:val="clear" w:color="auto" w:fill="auto"/>
            <w:hideMark/>
          </w:tcPr>
          <w:p w14:paraId="37409130"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To ensure continuity of learning</w:t>
            </w:r>
          </w:p>
        </w:tc>
        <w:tc>
          <w:tcPr>
            <w:tcW w:w="9640" w:type="dxa"/>
            <w:tcBorders>
              <w:top w:val="nil"/>
              <w:left w:val="nil"/>
              <w:bottom w:val="single" w:sz="4" w:space="0" w:color="000000"/>
              <w:right w:val="single" w:sz="4" w:space="0" w:color="000000"/>
            </w:tcBorders>
            <w:shd w:val="clear" w:color="auto" w:fill="auto"/>
            <w:hideMark/>
          </w:tcPr>
          <w:p w14:paraId="430EA578"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Notify employers of transfer; complete any new paperwork required; ensure any new relationships required are implemented</w:t>
            </w:r>
          </w:p>
        </w:tc>
      </w:tr>
      <w:tr w:rsidR="00FC78FD" w:rsidRPr="00FC78FD" w14:paraId="0C4F1939" w14:textId="77777777" w:rsidTr="00FC78FD">
        <w:trPr>
          <w:trHeight w:val="1032"/>
        </w:trPr>
        <w:tc>
          <w:tcPr>
            <w:tcW w:w="2600" w:type="dxa"/>
            <w:tcBorders>
              <w:top w:val="nil"/>
              <w:left w:val="single" w:sz="4" w:space="0" w:color="000000"/>
              <w:bottom w:val="single" w:sz="4" w:space="0" w:color="000000"/>
              <w:right w:val="single" w:sz="4" w:space="0" w:color="000000"/>
            </w:tcBorders>
            <w:shd w:val="clear" w:color="auto" w:fill="auto"/>
            <w:hideMark/>
          </w:tcPr>
          <w:p w14:paraId="1B5ED511"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Funding</w:t>
            </w:r>
          </w:p>
        </w:tc>
        <w:tc>
          <w:tcPr>
            <w:tcW w:w="3020" w:type="dxa"/>
            <w:tcBorders>
              <w:top w:val="nil"/>
              <w:left w:val="nil"/>
              <w:bottom w:val="single" w:sz="4" w:space="0" w:color="000000"/>
              <w:right w:val="single" w:sz="4" w:space="0" w:color="000000"/>
            </w:tcBorders>
            <w:shd w:val="clear" w:color="auto" w:fill="auto"/>
            <w:hideMark/>
          </w:tcPr>
          <w:p w14:paraId="2020AA18"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To ensure correct funding is allocated and to reclaim any overspend</w:t>
            </w:r>
          </w:p>
        </w:tc>
        <w:tc>
          <w:tcPr>
            <w:tcW w:w="9640" w:type="dxa"/>
            <w:tcBorders>
              <w:top w:val="nil"/>
              <w:left w:val="nil"/>
              <w:bottom w:val="single" w:sz="4" w:space="0" w:color="000000"/>
              <w:right w:val="single" w:sz="4" w:space="0" w:color="000000"/>
            </w:tcBorders>
            <w:shd w:val="clear" w:color="auto" w:fill="auto"/>
            <w:hideMark/>
          </w:tcPr>
          <w:p w14:paraId="202A280C"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Review all funding allocations to date against starters, learners, BiL, etc to ensure that funding payments to subcontractors are accurate; pay or reclaim any funding within agreed timescales</w:t>
            </w:r>
          </w:p>
        </w:tc>
      </w:tr>
      <w:tr w:rsidR="00FC78FD" w:rsidRPr="00FC78FD" w14:paraId="7083FC03" w14:textId="77777777" w:rsidTr="00FC78FD">
        <w:trPr>
          <w:trHeight w:val="1392"/>
        </w:trPr>
        <w:tc>
          <w:tcPr>
            <w:tcW w:w="2600" w:type="dxa"/>
            <w:tcBorders>
              <w:top w:val="nil"/>
              <w:left w:val="single" w:sz="4" w:space="0" w:color="000000"/>
              <w:bottom w:val="single" w:sz="4" w:space="0" w:color="000000"/>
              <w:right w:val="single" w:sz="4" w:space="0" w:color="000000"/>
            </w:tcBorders>
            <w:shd w:val="clear" w:color="auto" w:fill="auto"/>
            <w:hideMark/>
          </w:tcPr>
          <w:p w14:paraId="51875069"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 xml:space="preserve">Fees </w:t>
            </w:r>
          </w:p>
        </w:tc>
        <w:tc>
          <w:tcPr>
            <w:tcW w:w="3020" w:type="dxa"/>
            <w:tcBorders>
              <w:top w:val="nil"/>
              <w:left w:val="nil"/>
              <w:bottom w:val="single" w:sz="4" w:space="0" w:color="000000"/>
              <w:right w:val="single" w:sz="4" w:space="0" w:color="000000"/>
            </w:tcBorders>
            <w:shd w:val="clear" w:color="auto" w:fill="auto"/>
            <w:hideMark/>
          </w:tcPr>
          <w:p w14:paraId="4F24A888"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In relationship to apprenticeships - To ensure correct fees are allocated and to reclaim any overspend</w:t>
            </w:r>
          </w:p>
        </w:tc>
        <w:tc>
          <w:tcPr>
            <w:tcW w:w="9640" w:type="dxa"/>
            <w:tcBorders>
              <w:top w:val="nil"/>
              <w:left w:val="nil"/>
              <w:bottom w:val="single" w:sz="4" w:space="0" w:color="000000"/>
              <w:right w:val="single" w:sz="4" w:space="0" w:color="000000"/>
            </w:tcBorders>
            <w:shd w:val="clear" w:color="auto" w:fill="auto"/>
            <w:hideMark/>
          </w:tcPr>
          <w:p w14:paraId="4C6241D2"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Review all fees allocations to date against starters, learners, BiL, etc to ensure that funding payments to subcontractors are accurate; pay or reclaim any fees within agreed timescales</w:t>
            </w:r>
          </w:p>
        </w:tc>
      </w:tr>
      <w:tr w:rsidR="00FC78FD" w:rsidRPr="00FC78FD" w14:paraId="6E7E56E3" w14:textId="77777777" w:rsidTr="00FC78FD">
        <w:trPr>
          <w:trHeight w:val="1392"/>
        </w:trPr>
        <w:tc>
          <w:tcPr>
            <w:tcW w:w="2600" w:type="dxa"/>
            <w:tcBorders>
              <w:top w:val="nil"/>
              <w:left w:val="single" w:sz="4" w:space="0" w:color="000000"/>
              <w:bottom w:val="single" w:sz="4" w:space="0" w:color="000000"/>
              <w:right w:val="single" w:sz="4" w:space="0" w:color="000000"/>
            </w:tcBorders>
            <w:shd w:val="clear" w:color="auto" w:fill="auto"/>
            <w:hideMark/>
          </w:tcPr>
          <w:p w14:paraId="1268006B"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 xml:space="preserve">Fees </w:t>
            </w:r>
          </w:p>
        </w:tc>
        <w:tc>
          <w:tcPr>
            <w:tcW w:w="3020" w:type="dxa"/>
            <w:tcBorders>
              <w:top w:val="nil"/>
              <w:left w:val="nil"/>
              <w:bottom w:val="single" w:sz="4" w:space="0" w:color="000000"/>
              <w:right w:val="single" w:sz="4" w:space="0" w:color="000000"/>
            </w:tcBorders>
            <w:shd w:val="clear" w:color="auto" w:fill="auto"/>
            <w:hideMark/>
          </w:tcPr>
          <w:p w14:paraId="3AE4D021"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In relationship to College subcontractor fees - To ensure correct fees are allocated and to reclaim any overspend</w:t>
            </w:r>
          </w:p>
        </w:tc>
        <w:tc>
          <w:tcPr>
            <w:tcW w:w="9640" w:type="dxa"/>
            <w:tcBorders>
              <w:top w:val="nil"/>
              <w:left w:val="nil"/>
              <w:bottom w:val="single" w:sz="4" w:space="0" w:color="000000"/>
              <w:right w:val="single" w:sz="4" w:space="0" w:color="000000"/>
            </w:tcBorders>
            <w:shd w:val="clear" w:color="auto" w:fill="auto"/>
            <w:hideMark/>
          </w:tcPr>
          <w:p w14:paraId="771151DC"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Review all management fees retained to ensure that funding payments to subcontractors are accurate; pay or reclaim against any fees within agreed timescales</w:t>
            </w:r>
          </w:p>
        </w:tc>
      </w:tr>
      <w:tr w:rsidR="00FC78FD" w:rsidRPr="00FC78FD" w14:paraId="6A6A7FAD" w14:textId="77777777" w:rsidTr="00FC78FD">
        <w:trPr>
          <w:trHeight w:val="792"/>
        </w:trPr>
        <w:tc>
          <w:tcPr>
            <w:tcW w:w="2600" w:type="dxa"/>
            <w:tcBorders>
              <w:top w:val="nil"/>
              <w:left w:val="single" w:sz="4" w:space="0" w:color="000000"/>
              <w:bottom w:val="single" w:sz="4" w:space="0" w:color="000000"/>
              <w:right w:val="single" w:sz="4" w:space="0" w:color="000000"/>
            </w:tcBorders>
            <w:shd w:val="clear" w:color="auto" w:fill="auto"/>
            <w:hideMark/>
          </w:tcPr>
          <w:p w14:paraId="7FD826F1"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GDPR</w:t>
            </w:r>
          </w:p>
        </w:tc>
        <w:tc>
          <w:tcPr>
            <w:tcW w:w="3020" w:type="dxa"/>
            <w:tcBorders>
              <w:top w:val="nil"/>
              <w:left w:val="nil"/>
              <w:bottom w:val="single" w:sz="4" w:space="0" w:color="000000"/>
              <w:right w:val="single" w:sz="4" w:space="0" w:color="000000"/>
            </w:tcBorders>
            <w:shd w:val="clear" w:color="auto" w:fill="auto"/>
            <w:hideMark/>
          </w:tcPr>
          <w:p w14:paraId="225ADBB8"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To ensure GDPR compliance</w:t>
            </w:r>
          </w:p>
        </w:tc>
        <w:tc>
          <w:tcPr>
            <w:tcW w:w="9640" w:type="dxa"/>
            <w:tcBorders>
              <w:top w:val="nil"/>
              <w:left w:val="nil"/>
              <w:bottom w:val="single" w:sz="4" w:space="0" w:color="000000"/>
              <w:right w:val="single" w:sz="4" w:space="0" w:color="000000"/>
            </w:tcBorders>
            <w:shd w:val="clear" w:color="auto" w:fill="auto"/>
            <w:hideMark/>
          </w:tcPr>
          <w:p w14:paraId="12ABF88A"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To agree with the provider what College or personal data requires deleting or returning to the College and carry out within an agreed timescale</w:t>
            </w:r>
          </w:p>
        </w:tc>
      </w:tr>
      <w:tr w:rsidR="00FC78FD" w:rsidRPr="00FC78FD" w14:paraId="12937FF3" w14:textId="77777777" w:rsidTr="00FC78FD">
        <w:trPr>
          <w:trHeight w:val="1524"/>
        </w:trPr>
        <w:tc>
          <w:tcPr>
            <w:tcW w:w="2600" w:type="dxa"/>
            <w:tcBorders>
              <w:top w:val="nil"/>
              <w:left w:val="single" w:sz="4" w:space="0" w:color="000000"/>
              <w:bottom w:val="single" w:sz="4" w:space="0" w:color="000000"/>
              <w:right w:val="single" w:sz="4" w:space="0" w:color="000000"/>
            </w:tcBorders>
            <w:shd w:val="clear" w:color="auto" w:fill="auto"/>
            <w:hideMark/>
          </w:tcPr>
          <w:p w14:paraId="12B0FCDF"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lastRenderedPageBreak/>
              <w:t>Qualifications</w:t>
            </w:r>
          </w:p>
        </w:tc>
        <w:tc>
          <w:tcPr>
            <w:tcW w:w="3020" w:type="dxa"/>
            <w:tcBorders>
              <w:top w:val="nil"/>
              <w:left w:val="nil"/>
              <w:bottom w:val="single" w:sz="4" w:space="0" w:color="000000"/>
              <w:right w:val="single" w:sz="4" w:space="0" w:color="000000"/>
            </w:tcBorders>
            <w:shd w:val="clear" w:color="auto" w:fill="auto"/>
            <w:hideMark/>
          </w:tcPr>
          <w:p w14:paraId="2AE1B581"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To ensure qualifications are claimed and information transferred where appropriate from subcontractor to College or new provider</w:t>
            </w:r>
          </w:p>
        </w:tc>
        <w:tc>
          <w:tcPr>
            <w:tcW w:w="9640" w:type="dxa"/>
            <w:tcBorders>
              <w:top w:val="nil"/>
              <w:left w:val="nil"/>
              <w:bottom w:val="single" w:sz="4" w:space="0" w:color="000000"/>
              <w:right w:val="single" w:sz="4" w:space="0" w:color="000000"/>
            </w:tcBorders>
            <w:shd w:val="clear" w:color="auto" w:fill="auto"/>
            <w:hideMark/>
          </w:tcPr>
          <w:p w14:paraId="2FFCDC13"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 xml:space="preserve">Ensure that any qualifications awarded through the external partner - evidence is provided of qualifications achieved including copies of certificates, awarding body centre number, EQA evidence, individual learners information awaiting awarding body confirmation of achievement, etc; </w:t>
            </w:r>
          </w:p>
        </w:tc>
      </w:tr>
      <w:tr w:rsidR="00FC78FD" w:rsidRPr="00FC78FD" w14:paraId="123D952A" w14:textId="77777777" w:rsidTr="00FC78FD">
        <w:trPr>
          <w:trHeight w:val="1320"/>
        </w:trPr>
        <w:tc>
          <w:tcPr>
            <w:tcW w:w="2600" w:type="dxa"/>
            <w:tcBorders>
              <w:top w:val="nil"/>
              <w:left w:val="single" w:sz="4" w:space="0" w:color="000000"/>
              <w:bottom w:val="single" w:sz="4" w:space="0" w:color="000000"/>
              <w:right w:val="single" w:sz="4" w:space="0" w:color="000000"/>
            </w:tcBorders>
            <w:shd w:val="clear" w:color="auto" w:fill="auto"/>
            <w:hideMark/>
          </w:tcPr>
          <w:p w14:paraId="3FA045D9"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Evidence</w:t>
            </w:r>
          </w:p>
        </w:tc>
        <w:tc>
          <w:tcPr>
            <w:tcW w:w="3020" w:type="dxa"/>
            <w:tcBorders>
              <w:top w:val="nil"/>
              <w:left w:val="nil"/>
              <w:bottom w:val="single" w:sz="4" w:space="0" w:color="000000"/>
              <w:right w:val="single" w:sz="4" w:space="0" w:color="000000"/>
            </w:tcBorders>
            <w:shd w:val="clear" w:color="auto" w:fill="auto"/>
            <w:hideMark/>
          </w:tcPr>
          <w:p w14:paraId="02A474FF"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To ensure evidence of all delivery compliance and to ensure learners can continue, achieve and be claimed</w:t>
            </w:r>
          </w:p>
        </w:tc>
        <w:tc>
          <w:tcPr>
            <w:tcW w:w="9640" w:type="dxa"/>
            <w:tcBorders>
              <w:top w:val="nil"/>
              <w:left w:val="nil"/>
              <w:bottom w:val="single" w:sz="4" w:space="0" w:color="000000"/>
              <w:right w:val="single" w:sz="4" w:space="0" w:color="000000"/>
            </w:tcBorders>
            <w:shd w:val="clear" w:color="auto" w:fill="auto"/>
            <w:hideMark/>
          </w:tcPr>
          <w:p w14:paraId="7A2901F9"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Ensure for all learners on programme that evidence of all FE, apprenticeship or AEB learning is provided and transferred to the new provider to ensure the learners can continue, progress and achieve. This could include learner files/portfolios/evidence (paper based or online), IQA evidence, EQA evidence, registers, learner support records.</w:t>
            </w:r>
          </w:p>
        </w:tc>
      </w:tr>
      <w:tr w:rsidR="00FC78FD" w:rsidRPr="00FC78FD" w14:paraId="378B7976" w14:textId="77777777" w:rsidTr="00FC78FD">
        <w:trPr>
          <w:trHeight w:val="1548"/>
        </w:trPr>
        <w:tc>
          <w:tcPr>
            <w:tcW w:w="2600" w:type="dxa"/>
            <w:tcBorders>
              <w:top w:val="nil"/>
              <w:left w:val="single" w:sz="4" w:space="0" w:color="000000"/>
              <w:bottom w:val="single" w:sz="4" w:space="0" w:color="000000"/>
              <w:right w:val="single" w:sz="4" w:space="0" w:color="000000"/>
            </w:tcBorders>
            <w:shd w:val="clear" w:color="auto" w:fill="auto"/>
            <w:hideMark/>
          </w:tcPr>
          <w:p w14:paraId="5F901F6F"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College documents</w:t>
            </w:r>
          </w:p>
        </w:tc>
        <w:tc>
          <w:tcPr>
            <w:tcW w:w="3020" w:type="dxa"/>
            <w:tcBorders>
              <w:top w:val="nil"/>
              <w:left w:val="nil"/>
              <w:bottom w:val="single" w:sz="4" w:space="0" w:color="000000"/>
              <w:right w:val="single" w:sz="4" w:space="0" w:color="000000"/>
            </w:tcBorders>
            <w:shd w:val="clear" w:color="auto" w:fill="auto"/>
            <w:hideMark/>
          </w:tcPr>
          <w:p w14:paraId="3712C17D"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To reclaim all copies and originals of correspondence, documents, papers and other property belonging to the College</w:t>
            </w:r>
          </w:p>
        </w:tc>
        <w:tc>
          <w:tcPr>
            <w:tcW w:w="9640" w:type="dxa"/>
            <w:tcBorders>
              <w:top w:val="nil"/>
              <w:left w:val="nil"/>
              <w:bottom w:val="single" w:sz="4" w:space="0" w:color="000000"/>
              <w:right w:val="single" w:sz="4" w:space="0" w:color="000000"/>
            </w:tcBorders>
            <w:shd w:val="clear" w:color="auto" w:fill="auto"/>
            <w:hideMark/>
          </w:tcPr>
          <w:p w14:paraId="65959BEB"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The College would identify a list of requirements that the subcontractor must abide by as per the subcontractor contract</w:t>
            </w:r>
          </w:p>
        </w:tc>
      </w:tr>
      <w:tr w:rsidR="00FC78FD" w:rsidRPr="00FC78FD" w14:paraId="7854D7E0" w14:textId="77777777" w:rsidTr="00FC78FD">
        <w:trPr>
          <w:trHeight w:val="1116"/>
        </w:trPr>
        <w:tc>
          <w:tcPr>
            <w:tcW w:w="2600" w:type="dxa"/>
            <w:tcBorders>
              <w:top w:val="nil"/>
              <w:left w:val="single" w:sz="4" w:space="0" w:color="000000"/>
              <w:bottom w:val="single" w:sz="4" w:space="0" w:color="000000"/>
              <w:right w:val="single" w:sz="4" w:space="0" w:color="000000"/>
            </w:tcBorders>
            <w:shd w:val="clear" w:color="auto" w:fill="auto"/>
            <w:hideMark/>
          </w:tcPr>
          <w:p w14:paraId="7CBF7DB4"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Anything else required</w:t>
            </w:r>
          </w:p>
        </w:tc>
        <w:tc>
          <w:tcPr>
            <w:tcW w:w="3020" w:type="dxa"/>
            <w:tcBorders>
              <w:top w:val="nil"/>
              <w:left w:val="nil"/>
              <w:bottom w:val="single" w:sz="4" w:space="0" w:color="000000"/>
              <w:right w:val="single" w:sz="4" w:space="0" w:color="000000"/>
            </w:tcBorders>
            <w:shd w:val="clear" w:color="auto" w:fill="auto"/>
            <w:hideMark/>
          </w:tcPr>
          <w:p w14:paraId="59465A6D"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Specific to the contract and provision</w:t>
            </w:r>
          </w:p>
        </w:tc>
        <w:tc>
          <w:tcPr>
            <w:tcW w:w="9640" w:type="dxa"/>
            <w:tcBorders>
              <w:top w:val="nil"/>
              <w:left w:val="nil"/>
              <w:bottom w:val="single" w:sz="4" w:space="0" w:color="000000"/>
              <w:right w:val="single" w:sz="4" w:space="0" w:color="000000"/>
            </w:tcBorders>
            <w:shd w:val="clear" w:color="auto" w:fill="auto"/>
            <w:hideMark/>
          </w:tcPr>
          <w:p w14:paraId="7B07E122" w14:textId="77777777" w:rsidR="00FC78FD" w:rsidRPr="00FC78FD" w:rsidRDefault="00FC78FD" w:rsidP="00FC78FD">
            <w:pPr>
              <w:spacing w:after="0" w:line="240" w:lineRule="auto"/>
              <w:rPr>
                <w:rFonts w:ascii="Tahoma" w:eastAsia="Times New Roman" w:hAnsi="Tahoma" w:cs="Tahoma"/>
                <w:color w:val="000000"/>
                <w:lang w:eastAsia="en-GB"/>
              </w:rPr>
            </w:pPr>
            <w:r w:rsidRPr="00FC78FD">
              <w:rPr>
                <w:rFonts w:ascii="Tahoma" w:eastAsia="Times New Roman" w:hAnsi="Tahoma" w:cs="Tahoma"/>
                <w:color w:val="000000"/>
                <w:lang w:eastAsia="en-GB"/>
              </w:rPr>
              <w:t>Identify and ensure that the subcontractor provides anything specific to the contractor or provision required to enable learners to progress and achieve and funding compliance to be maintained.</w:t>
            </w:r>
          </w:p>
        </w:tc>
      </w:tr>
    </w:tbl>
    <w:p w14:paraId="3C192EB1" w14:textId="77777777" w:rsidR="003A628B" w:rsidRPr="009A0819" w:rsidRDefault="003A628B" w:rsidP="009A0819">
      <w:pPr>
        <w:tabs>
          <w:tab w:val="left" w:pos="1159"/>
        </w:tabs>
        <w:jc w:val="both"/>
        <w:rPr>
          <w:rFonts w:ascii="Tahoma" w:hAnsi="Tahoma" w:cs="Tahoma"/>
        </w:rPr>
      </w:pPr>
    </w:p>
    <w:sectPr w:rsidR="003A628B" w:rsidRPr="009A0819" w:rsidSect="003A628B">
      <w:pgSz w:w="16838" w:h="11906" w:orient="landscape" w:code="9"/>
      <w:pgMar w:top="1440" w:right="1440" w:bottom="1440" w:left="1440" w:header="709" w:footer="709" w:gutter="0"/>
      <w:pgBorders w:offsetFrom="page">
        <w:top w:val="triple" w:sz="4" w:space="24" w:color="92D050"/>
        <w:left w:val="triple" w:sz="4" w:space="24" w:color="92D050"/>
        <w:bottom w:val="triple" w:sz="4" w:space="24" w:color="92D050"/>
        <w:right w:val="trip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98BA" w14:textId="77777777" w:rsidR="00A246DF" w:rsidRDefault="00A246DF" w:rsidP="009F5178">
      <w:pPr>
        <w:spacing w:after="0" w:line="240" w:lineRule="auto"/>
      </w:pPr>
      <w:r>
        <w:separator/>
      </w:r>
    </w:p>
  </w:endnote>
  <w:endnote w:type="continuationSeparator" w:id="0">
    <w:p w14:paraId="32F68C06" w14:textId="77777777" w:rsidR="00A246DF" w:rsidRDefault="00A246DF" w:rsidP="009F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C74C" w14:textId="77777777" w:rsidR="00FC78FD" w:rsidRDefault="00FC7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B63D" w14:textId="2AF08E0B" w:rsidR="00860F98" w:rsidRDefault="00FC78FD">
    <w:pPr>
      <w:pStyle w:val="Footer"/>
    </w:pPr>
    <w:r>
      <w:t>Effective from 1 August 2022</w:t>
    </w:r>
    <w:r>
      <w:tab/>
      <w:t>`Review date 31 July 2023</w:t>
    </w:r>
    <w:r>
      <w:tab/>
      <w:t>Version 2</w:t>
    </w:r>
  </w:p>
  <w:p w14:paraId="7C9598C5" w14:textId="797F8042" w:rsidR="003233D0" w:rsidRDefault="00860F98" w:rsidP="00860F98">
    <w:pPr>
      <w:pStyle w:val="Footer"/>
      <w:jc w:val="center"/>
    </w:pPr>
    <w:r>
      <w:rPr>
        <w:noProof/>
        <w:lang w:eastAsia="en-GB"/>
      </w:rPr>
      <w:drawing>
        <wp:inline distT="0" distB="0" distL="0" distR="0" wp14:anchorId="2B686D8C" wp14:editId="603F5A37">
          <wp:extent cx="1510206" cy="731520"/>
          <wp:effectExtent l="0" t="0" r="0" b="0"/>
          <wp:docPr id="4" name="Picture 4" descr="ESFA-logo.jpg (1102Ã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logo.jpg (1102Ã5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482" cy="73262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E731" w14:textId="77777777" w:rsidR="00FC78FD" w:rsidRDefault="00FC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EF3E" w14:textId="77777777" w:rsidR="00A246DF" w:rsidRDefault="00A246DF" w:rsidP="009F5178">
      <w:pPr>
        <w:spacing w:after="0" w:line="240" w:lineRule="auto"/>
      </w:pPr>
      <w:r>
        <w:separator/>
      </w:r>
    </w:p>
  </w:footnote>
  <w:footnote w:type="continuationSeparator" w:id="0">
    <w:p w14:paraId="6D48CF48" w14:textId="77777777" w:rsidR="00A246DF" w:rsidRDefault="00A246DF" w:rsidP="009F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F56E" w14:textId="77777777" w:rsidR="00FC78FD" w:rsidRDefault="00FC7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458E" w14:textId="4B22F250" w:rsidR="009F5178" w:rsidRDefault="00653903" w:rsidP="00FF5859">
    <w:pPr>
      <w:pStyle w:val="Header"/>
    </w:pPr>
    <w:r>
      <w:rPr>
        <w:rFonts w:ascii="Arial" w:hAnsi="Arial" w:cs="Arial"/>
        <w:noProof/>
        <w:color w:val="000000"/>
        <w:bdr w:val="none" w:sz="0" w:space="0" w:color="auto" w:frame="1"/>
      </w:rPr>
      <w:drawing>
        <wp:inline distT="0" distB="0" distL="0" distR="0" wp14:anchorId="7A36E0F3" wp14:editId="026994E0">
          <wp:extent cx="5654040" cy="3363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4330" cy="366091"/>
                  </a:xfrm>
                  <a:prstGeom prst="rect">
                    <a:avLst/>
                  </a:prstGeom>
                  <a:noFill/>
                  <a:ln>
                    <a:noFill/>
                  </a:ln>
                </pic:spPr>
              </pic:pic>
            </a:graphicData>
          </a:graphic>
        </wp:inline>
      </w:drawing>
    </w:r>
  </w:p>
  <w:p w14:paraId="42043B1E" w14:textId="77777777" w:rsidR="009F5178" w:rsidRDefault="009F5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C549" w14:textId="77777777" w:rsidR="00FC78FD" w:rsidRDefault="00FC7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7A2"/>
    <w:rsid w:val="003233D0"/>
    <w:rsid w:val="003A628B"/>
    <w:rsid w:val="003C7B4B"/>
    <w:rsid w:val="004B613C"/>
    <w:rsid w:val="004D0411"/>
    <w:rsid w:val="005B7001"/>
    <w:rsid w:val="00653903"/>
    <w:rsid w:val="006B5505"/>
    <w:rsid w:val="006D05DC"/>
    <w:rsid w:val="007047A2"/>
    <w:rsid w:val="007A3AF1"/>
    <w:rsid w:val="00860F98"/>
    <w:rsid w:val="009A0819"/>
    <w:rsid w:val="009F5178"/>
    <w:rsid w:val="00A246DF"/>
    <w:rsid w:val="00B56F91"/>
    <w:rsid w:val="00BA1E44"/>
    <w:rsid w:val="00C9040D"/>
    <w:rsid w:val="00D51AD9"/>
    <w:rsid w:val="00FC78FD"/>
    <w:rsid w:val="00FD5C89"/>
    <w:rsid w:val="00FF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098A"/>
  <w15:docId w15:val="{5992834C-10E0-480E-B259-6F77A611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A2"/>
    <w:rPr>
      <w:rFonts w:ascii="Tahoma" w:hAnsi="Tahoma" w:cs="Tahoma"/>
      <w:sz w:val="16"/>
      <w:szCs w:val="16"/>
    </w:rPr>
  </w:style>
  <w:style w:type="paragraph" w:styleId="Header">
    <w:name w:val="header"/>
    <w:basedOn w:val="Normal"/>
    <w:link w:val="HeaderChar"/>
    <w:uiPriority w:val="99"/>
    <w:unhideWhenUsed/>
    <w:rsid w:val="009F5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78"/>
  </w:style>
  <w:style w:type="paragraph" w:styleId="Footer">
    <w:name w:val="footer"/>
    <w:basedOn w:val="Normal"/>
    <w:link w:val="FooterChar"/>
    <w:uiPriority w:val="99"/>
    <w:unhideWhenUsed/>
    <w:rsid w:val="009F5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78"/>
  </w:style>
  <w:style w:type="character" w:styleId="Hyperlink">
    <w:name w:val="Hyperlink"/>
    <w:basedOn w:val="DefaultParagraphFont"/>
    <w:uiPriority w:val="99"/>
    <w:unhideWhenUsed/>
    <w:rsid w:val="004D0411"/>
    <w:rPr>
      <w:color w:val="0000FF" w:themeColor="hyperlink"/>
      <w:u w:val="single"/>
    </w:rPr>
  </w:style>
  <w:style w:type="character" w:styleId="UnresolvedMention">
    <w:name w:val="Unresolved Mention"/>
    <w:basedOn w:val="DefaultParagraphFont"/>
    <w:uiPriority w:val="99"/>
    <w:semiHidden/>
    <w:unhideWhenUsed/>
    <w:rsid w:val="00860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7770">
      <w:bodyDiv w:val="1"/>
      <w:marLeft w:val="0"/>
      <w:marRight w:val="0"/>
      <w:marTop w:val="0"/>
      <w:marBottom w:val="0"/>
      <w:divBdr>
        <w:top w:val="none" w:sz="0" w:space="0" w:color="auto"/>
        <w:left w:val="none" w:sz="0" w:space="0" w:color="auto"/>
        <w:bottom w:val="none" w:sz="0" w:space="0" w:color="auto"/>
        <w:right w:val="none" w:sz="0" w:space="0" w:color="auto"/>
      </w:divBdr>
    </w:div>
    <w:div w:id="416753694">
      <w:bodyDiv w:val="1"/>
      <w:marLeft w:val="0"/>
      <w:marRight w:val="0"/>
      <w:marTop w:val="0"/>
      <w:marBottom w:val="0"/>
      <w:divBdr>
        <w:top w:val="none" w:sz="0" w:space="0" w:color="auto"/>
        <w:left w:val="none" w:sz="0" w:space="0" w:color="auto"/>
        <w:bottom w:val="none" w:sz="0" w:space="0" w:color="auto"/>
        <w:right w:val="none" w:sz="0" w:space="0" w:color="auto"/>
      </w:divBdr>
    </w:div>
    <w:div w:id="533082761">
      <w:bodyDiv w:val="1"/>
      <w:marLeft w:val="0"/>
      <w:marRight w:val="0"/>
      <w:marTop w:val="0"/>
      <w:marBottom w:val="0"/>
      <w:divBdr>
        <w:top w:val="none" w:sz="0" w:space="0" w:color="auto"/>
        <w:left w:val="none" w:sz="0" w:space="0" w:color="auto"/>
        <w:bottom w:val="none" w:sz="0" w:space="0" w:color="auto"/>
        <w:right w:val="none" w:sz="0" w:space="0" w:color="auto"/>
      </w:divBdr>
    </w:div>
    <w:div w:id="545803347">
      <w:bodyDiv w:val="1"/>
      <w:marLeft w:val="0"/>
      <w:marRight w:val="0"/>
      <w:marTop w:val="0"/>
      <w:marBottom w:val="0"/>
      <w:divBdr>
        <w:top w:val="none" w:sz="0" w:space="0" w:color="auto"/>
        <w:left w:val="none" w:sz="0" w:space="0" w:color="auto"/>
        <w:bottom w:val="none" w:sz="0" w:space="0" w:color="auto"/>
        <w:right w:val="none" w:sz="0" w:space="0" w:color="auto"/>
      </w:divBdr>
    </w:div>
    <w:div w:id="1204443655">
      <w:bodyDiv w:val="1"/>
      <w:marLeft w:val="0"/>
      <w:marRight w:val="0"/>
      <w:marTop w:val="0"/>
      <w:marBottom w:val="0"/>
      <w:divBdr>
        <w:top w:val="none" w:sz="0" w:space="0" w:color="auto"/>
        <w:left w:val="none" w:sz="0" w:space="0" w:color="auto"/>
        <w:bottom w:val="none" w:sz="0" w:space="0" w:color="auto"/>
        <w:right w:val="none" w:sz="0" w:space="0" w:color="auto"/>
      </w:divBdr>
      <w:divsChild>
        <w:div w:id="1763447671">
          <w:marLeft w:val="0"/>
          <w:marRight w:val="0"/>
          <w:marTop w:val="0"/>
          <w:marBottom w:val="0"/>
          <w:divBdr>
            <w:top w:val="none" w:sz="0" w:space="0" w:color="auto"/>
            <w:left w:val="none" w:sz="0" w:space="0" w:color="auto"/>
            <w:bottom w:val="none" w:sz="0" w:space="0" w:color="auto"/>
            <w:right w:val="none" w:sz="0" w:space="0" w:color="auto"/>
          </w:divBdr>
          <w:divsChild>
            <w:div w:id="1037195730">
              <w:marLeft w:val="0"/>
              <w:marRight w:val="0"/>
              <w:marTop w:val="0"/>
              <w:marBottom w:val="0"/>
              <w:divBdr>
                <w:top w:val="none" w:sz="0" w:space="0" w:color="auto"/>
                <w:left w:val="none" w:sz="0" w:space="0" w:color="auto"/>
                <w:bottom w:val="none" w:sz="0" w:space="0" w:color="auto"/>
                <w:right w:val="none" w:sz="0" w:space="0" w:color="auto"/>
              </w:divBdr>
              <w:divsChild>
                <w:div w:id="2032873854">
                  <w:marLeft w:val="0"/>
                  <w:marRight w:val="0"/>
                  <w:marTop w:val="0"/>
                  <w:marBottom w:val="0"/>
                  <w:divBdr>
                    <w:top w:val="none" w:sz="0" w:space="0" w:color="auto"/>
                    <w:left w:val="none" w:sz="0" w:space="0" w:color="auto"/>
                    <w:bottom w:val="none" w:sz="0" w:space="0" w:color="auto"/>
                    <w:right w:val="none" w:sz="0" w:space="0" w:color="auto"/>
                  </w:divBdr>
                  <w:divsChild>
                    <w:div w:id="14712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Doncaster College</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Smith</cp:lastModifiedBy>
  <cp:revision>3</cp:revision>
  <dcterms:created xsi:type="dcterms:W3CDTF">2023-04-18T10:27:00Z</dcterms:created>
  <dcterms:modified xsi:type="dcterms:W3CDTF">2023-04-18T10:50:00Z</dcterms:modified>
</cp:coreProperties>
</file>