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29797" w14:textId="77777777" w:rsidR="00912591" w:rsidRDefault="0020123D">
      <w:pPr>
        <w:spacing w:before="480"/>
        <w:rPr>
          <w:rFonts w:ascii="Arial" w:eastAsia="Arial" w:hAnsi="Arial" w:cs="Arial"/>
          <w:b/>
          <w:sz w:val="32"/>
          <w:szCs w:val="32"/>
        </w:rPr>
      </w:pPr>
      <w:bookmarkStart w:id="0" w:name="_GoBack"/>
      <w:bookmarkEnd w:id="0"/>
      <w:r>
        <w:rPr>
          <w:rFonts w:eastAsia="Calibri"/>
          <w:noProof/>
          <w:sz w:val="24"/>
          <w:szCs w:val="24"/>
        </w:rPr>
        <w:drawing>
          <wp:inline distT="0" distB="0" distL="0" distR="0" wp14:anchorId="78BBD075" wp14:editId="5839224C">
            <wp:extent cx="6491288" cy="349885"/>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491288" cy="349885"/>
                    </a:xfrm>
                    <a:prstGeom prst="rect">
                      <a:avLst/>
                    </a:prstGeom>
                    <a:ln/>
                  </pic:spPr>
                </pic:pic>
              </a:graphicData>
            </a:graphic>
          </wp:inline>
        </w:drawing>
      </w:r>
    </w:p>
    <w:p w14:paraId="57DE7011" w14:textId="77777777" w:rsidR="00912591" w:rsidRDefault="00912591">
      <w:pPr>
        <w:spacing w:before="480"/>
        <w:ind w:left="-851"/>
        <w:jc w:val="center"/>
        <w:rPr>
          <w:rFonts w:ascii="Arial" w:eastAsia="Arial" w:hAnsi="Arial" w:cs="Arial"/>
          <w:b/>
          <w:sz w:val="32"/>
          <w:szCs w:val="32"/>
        </w:rPr>
      </w:pPr>
    </w:p>
    <w:p w14:paraId="0B7E31D1" w14:textId="77777777" w:rsidR="00912591" w:rsidRDefault="00912591">
      <w:pPr>
        <w:spacing w:before="480"/>
        <w:ind w:left="-851"/>
        <w:jc w:val="center"/>
        <w:rPr>
          <w:rFonts w:ascii="Arial" w:eastAsia="Arial" w:hAnsi="Arial" w:cs="Arial"/>
          <w:b/>
          <w:sz w:val="32"/>
          <w:szCs w:val="32"/>
        </w:rPr>
      </w:pPr>
    </w:p>
    <w:p w14:paraId="1DAF3038" w14:textId="0EFFFC5A" w:rsidR="0011501D" w:rsidRDefault="0011501D" w:rsidP="0011501D">
      <w:pPr>
        <w:spacing w:before="480"/>
        <w:jc w:val="center"/>
        <w:rPr>
          <w:rFonts w:ascii="Arial" w:eastAsia="Arial" w:hAnsi="Arial" w:cs="Arial"/>
          <w:b/>
          <w:sz w:val="44"/>
          <w:szCs w:val="44"/>
        </w:rPr>
      </w:pPr>
      <w:r>
        <w:rPr>
          <w:rFonts w:ascii="Arial" w:eastAsia="Arial" w:hAnsi="Arial" w:cs="Arial"/>
          <w:b/>
          <w:sz w:val="44"/>
          <w:szCs w:val="44"/>
        </w:rPr>
        <w:t>STUDENT</w:t>
      </w:r>
    </w:p>
    <w:p w14:paraId="2223840C" w14:textId="478D958D" w:rsidR="0011501D" w:rsidRDefault="0011501D" w:rsidP="0011501D">
      <w:pPr>
        <w:spacing w:before="480"/>
        <w:jc w:val="center"/>
        <w:rPr>
          <w:rFonts w:ascii="Arial" w:eastAsia="Arial" w:hAnsi="Arial" w:cs="Arial"/>
          <w:b/>
          <w:sz w:val="44"/>
          <w:szCs w:val="44"/>
        </w:rPr>
      </w:pPr>
      <w:r>
        <w:rPr>
          <w:rFonts w:ascii="Arial" w:eastAsia="Arial" w:hAnsi="Arial" w:cs="Arial"/>
          <w:b/>
          <w:sz w:val="44"/>
          <w:szCs w:val="44"/>
        </w:rPr>
        <w:t xml:space="preserve">AND </w:t>
      </w:r>
    </w:p>
    <w:p w14:paraId="0BF6AA07" w14:textId="77777777" w:rsidR="0011501D" w:rsidRDefault="0011501D" w:rsidP="0011501D">
      <w:pPr>
        <w:spacing w:before="480"/>
        <w:jc w:val="center"/>
        <w:rPr>
          <w:rFonts w:ascii="Arial" w:eastAsia="Arial" w:hAnsi="Arial" w:cs="Arial"/>
          <w:b/>
          <w:sz w:val="44"/>
          <w:szCs w:val="44"/>
        </w:rPr>
      </w:pPr>
      <w:r>
        <w:rPr>
          <w:rFonts w:ascii="Arial" w:eastAsia="Arial" w:hAnsi="Arial" w:cs="Arial"/>
          <w:b/>
          <w:sz w:val="44"/>
          <w:szCs w:val="44"/>
        </w:rPr>
        <w:t xml:space="preserve">COMMERCIAL </w:t>
      </w:r>
      <w:r w:rsidR="00873F32">
        <w:rPr>
          <w:rFonts w:ascii="Arial" w:eastAsia="Arial" w:hAnsi="Arial" w:cs="Arial"/>
          <w:b/>
          <w:sz w:val="44"/>
          <w:szCs w:val="44"/>
        </w:rPr>
        <w:t>DEBT</w:t>
      </w:r>
    </w:p>
    <w:p w14:paraId="0349D926" w14:textId="64D9A0B2" w:rsidR="00912591" w:rsidRDefault="00873F32" w:rsidP="0011501D">
      <w:pPr>
        <w:spacing w:before="480"/>
        <w:jc w:val="center"/>
        <w:rPr>
          <w:rFonts w:ascii="Arial" w:eastAsia="Arial" w:hAnsi="Arial" w:cs="Arial"/>
          <w:b/>
          <w:sz w:val="44"/>
          <w:szCs w:val="44"/>
        </w:rPr>
      </w:pPr>
      <w:r>
        <w:rPr>
          <w:rFonts w:ascii="Arial" w:eastAsia="Arial" w:hAnsi="Arial" w:cs="Arial"/>
          <w:b/>
          <w:sz w:val="44"/>
          <w:szCs w:val="44"/>
        </w:rPr>
        <w:t xml:space="preserve"> POLICY</w:t>
      </w:r>
    </w:p>
    <w:p w14:paraId="431C3F73" w14:textId="77777777" w:rsidR="00912591" w:rsidRDefault="00912591">
      <w:pPr>
        <w:spacing w:before="480"/>
        <w:ind w:left="-851"/>
        <w:jc w:val="center"/>
        <w:rPr>
          <w:rFonts w:ascii="Arial" w:eastAsia="Arial" w:hAnsi="Arial" w:cs="Arial"/>
          <w:b/>
          <w:color w:val="A6A6A6"/>
          <w:sz w:val="32"/>
          <w:szCs w:val="32"/>
        </w:rPr>
      </w:pPr>
    </w:p>
    <w:p w14:paraId="2DBB04E9" w14:textId="77777777" w:rsidR="00912591" w:rsidRDefault="00912591">
      <w:pPr>
        <w:spacing w:before="480"/>
        <w:ind w:left="-851"/>
        <w:jc w:val="center"/>
        <w:rPr>
          <w:rFonts w:ascii="Arial" w:eastAsia="Arial" w:hAnsi="Arial" w:cs="Arial"/>
          <w:b/>
          <w:color w:val="A6A6A6"/>
          <w:sz w:val="32"/>
          <w:szCs w:val="32"/>
        </w:rPr>
      </w:pPr>
    </w:p>
    <w:p w14:paraId="7AB818DC" w14:textId="77777777" w:rsidR="00912591" w:rsidRDefault="00912591">
      <w:pPr>
        <w:spacing w:before="480"/>
        <w:ind w:left="-851"/>
        <w:jc w:val="center"/>
        <w:rPr>
          <w:rFonts w:ascii="Arial" w:eastAsia="Arial" w:hAnsi="Arial" w:cs="Arial"/>
          <w:b/>
          <w:color w:val="A6A6A6"/>
          <w:sz w:val="32"/>
          <w:szCs w:val="32"/>
        </w:rPr>
      </w:pPr>
    </w:p>
    <w:p w14:paraId="039EB54C" w14:textId="77777777" w:rsidR="00912591" w:rsidRDefault="0020123D">
      <w:pPr>
        <w:spacing w:before="480" w:after="0"/>
        <w:ind w:left="2880" w:hanging="2171"/>
        <w:rPr>
          <w:rFonts w:ascii="Arial" w:eastAsia="Arial" w:hAnsi="Arial" w:cs="Arial"/>
          <w:b/>
          <w:color w:val="A6A6A6"/>
          <w:sz w:val="32"/>
          <w:szCs w:val="32"/>
        </w:rPr>
      </w:pPr>
      <w:r>
        <w:rPr>
          <w:rFonts w:ascii="Arial" w:eastAsia="Arial" w:hAnsi="Arial" w:cs="Arial"/>
          <w:b/>
          <w:color w:val="A6A6A6"/>
          <w:sz w:val="32"/>
          <w:szCs w:val="32"/>
        </w:rPr>
        <w:tab/>
      </w:r>
    </w:p>
    <w:p w14:paraId="7A9DE45F" w14:textId="77777777" w:rsidR="00912591" w:rsidRDefault="00912591">
      <w:pPr>
        <w:spacing w:before="480"/>
        <w:rPr>
          <w:rFonts w:ascii="Arial" w:eastAsia="Arial" w:hAnsi="Arial" w:cs="Arial"/>
          <w:b/>
          <w:color w:val="A6A6A6"/>
          <w:sz w:val="36"/>
          <w:szCs w:val="36"/>
        </w:rPr>
      </w:pPr>
    </w:p>
    <w:p w14:paraId="164F0075" w14:textId="77777777" w:rsidR="00912591" w:rsidRDefault="0020123D">
      <w:pPr>
        <w:rPr>
          <w:rFonts w:ascii="Arial" w:eastAsia="Arial" w:hAnsi="Arial" w:cs="Arial"/>
          <w:b/>
          <w:color w:val="A6A6A6"/>
          <w:sz w:val="36"/>
          <w:szCs w:val="36"/>
        </w:rPr>
      </w:pPr>
      <w:r>
        <w:br w:type="page"/>
      </w:r>
    </w:p>
    <w:tbl>
      <w:tblPr>
        <w:tblStyle w:val="a"/>
        <w:tblW w:w="10534" w:type="dxa"/>
        <w:tblBorders>
          <w:top w:val="nil"/>
          <w:left w:val="nil"/>
          <w:bottom w:val="nil"/>
          <w:right w:val="nil"/>
          <w:insideH w:val="nil"/>
          <w:insideV w:val="nil"/>
        </w:tblBorders>
        <w:tblLayout w:type="fixed"/>
        <w:tblLook w:val="0400" w:firstRow="0" w:lastRow="0" w:firstColumn="0" w:lastColumn="0" w:noHBand="0" w:noVBand="1"/>
      </w:tblPr>
      <w:tblGrid>
        <w:gridCol w:w="817"/>
        <w:gridCol w:w="1559"/>
        <w:gridCol w:w="8158"/>
      </w:tblGrid>
      <w:tr w:rsidR="00912591" w14:paraId="73569E64" w14:textId="77777777">
        <w:trPr>
          <w:trHeight w:val="397"/>
        </w:trPr>
        <w:tc>
          <w:tcPr>
            <w:tcW w:w="817" w:type="dxa"/>
            <w:shd w:val="clear" w:color="auto" w:fill="F2F2F2"/>
            <w:vAlign w:val="center"/>
          </w:tcPr>
          <w:p w14:paraId="76795F1A" w14:textId="77777777" w:rsidR="00912591" w:rsidRDefault="0020123D">
            <w:pPr>
              <w:rPr>
                <w:rFonts w:ascii="Arial" w:eastAsia="Arial" w:hAnsi="Arial" w:cs="Arial"/>
                <w:b/>
              </w:rPr>
            </w:pPr>
            <w:r>
              <w:rPr>
                <w:rFonts w:ascii="Arial" w:eastAsia="Arial" w:hAnsi="Arial" w:cs="Arial"/>
                <w:b/>
              </w:rPr>
              <w:lastRenderedPageBreak/>
              <w:t>1.</w:t>
            </w:r>
          </w:p>
        </w:tc>
        <w:tc>
          <w:tcPr>
            <w:tcW w:w="9717" w:type="dxa"/>
            <w:gridSpan w:val="2"/>
            <w:shd w:val="clear" w:color="auto" w:fill="F2F2F2"/>
            <w:vAlign w:val="center"/>
          </w:tcPr>
          <w:p w14:paraId="2942662D" w14:textId="77777777" w:rsidR="00912591" w:rsidRDefault="0020123D">
            <w:pPr>
              <w:rPr>
                <w:rFonts w:ascii="Arial" w:eastAsia="Arial" w:hAnsi="Arial" w:cs="Arial"/>
                <w:b/>
              </w:rPr>
            </w:pPr>
            <w:r>
              <w:rPr>
                <w:rFonts w:ascii="Arial" w:eastAsia="Arial" w:hAnsi="Arial" w:cs="Arial"/>
                <w:b/>
              </w:rPr>
              <w:t>Purpose</w:t>
            </w:r>
          </w:p>
        </w:tc>
      </w:tr>
      <w:tr w:rsidR="00912591" w14:paraId="0B3ABF10" w14:textId="77777777">
        <w:trPr>
          <w:trHeight w:val="1701"/>
        </w:trPr>
        <w:tc>
          <w:tcPr>
            <w:tcW w:w="817" w:type="dxa"/>
          </w:tcPr>
          <w:p w14:paraId="5D075E8F" w14:textId="77777777" w:rsidR="00912591" w:rsidRDefault="00912591">
            <w:pPr>
              <w:rPr>
                <w:rFonts w:ascii="Arial" w:eastAsia="Arial" w:hAnsi="Arial" w:cs="Arial"/>
              </w:rPr>
            </w:pPr>
          </w:p>
          <w:p w14:paraId="7EC37414" w14:textId="77777777" w:rsidR="00912591" w:rsidRDefault="0020123D">
            <w:pPr>
              <w:rPr>
                <w:rFonts w:ascii="Arial" w:eastAsia="Arial" w:hAnsi="Arial" w:cs="Arial"/>
              </w:rPr>
            </w:pPr>
            <w:r>
              <w:rPr>
                <w:rFonts w:ascii="Arial" w:eastAsia="Arial" w:hAnsi="Arial" w:cs="Arial"/>
              </w:rPr>
              <w:t>1.1</w:t>
            </w:r>
          </w:p>
          <w:p w14:paraId="2B492531" w14:textId="77777777" w:rsidR="00912591" w:rsidRDefault="00912591">
            <w:pPr>
              <w:rPr>
                <w:rFonts w:ascii="Arial" w:eastAsia="Arial" w:hAnsi="Arial" w:cs="Arial"/>
              </w:rPr>
            </w:pPr>
          </w:p>
          <w:p w14:paraId="3024A171" w14:textId="77777777" w:rsidR="00912591" w:rsidRDefault="00912591">
            <w:pPr>
              <w:rPr>
                <w:rFonts w:ascii="Arial" w:eastAsia="Arial" w:hAnsi="Arial" w:cs="Arial"/>
              </w:rPr>
            </w:pPr>
          </w:p>
          <w:p w14:paraId="08524153" w14:textId="77777777" w:rsidR="00912591" w:rsidRDefault="00912591">
            <w:pPr>
              <w:rPr>
                <w:rFonts w:ascii="Arial" w:eastAsia="Arial" w:hAnsi="Arial" w:cs="Arial"/>
              </w:rPr>
            </w:pPr>
          </w:p>
          <w:p w14:paraId="56A0B563" w14:textId="77777777" w:rsidR="00912591" w:rsidRDefault="00912591">
            <w:pPr>
              <w:rPr>
                <w:rFonts w:ascii="Arial" w:eastAsia="Arial" w:hAnsi="Arial" w:cs="Arial"/>
              </w:rPr>
            </w:pPr>
          </w:p>
          <w:p w14:paraId="6E5B858E" w14:textId="77777777" w:rsidR="00912591" w:rsidRDefault="00912591">
            <w:pPr>
              <w:rPr>
                <w:rFonts w:ascii="Arial" w:eastAsia="Arial" w:hAnsi="Arial" w:cs="Arial"/>
              </w:rPr>
            </w:pPr>
          </w:p>
        </w:tc>
        <w:tc>
          <w:tcPr>
            <w:tcW w:w="9717" w:type="dxa"/>
            <w:gridSpan w:val="2"/>
          </w:tcPr>
          <w:p w14:paraId="481F9CAF" w14:textId="77777777" w:rsidR="00912591" w:rsidRDefault="00912591">
            <w:pPr>
              <w:rPr>
                <w:rFonts w:ascii="Arial" w:eastAsia="Arial" w:hAnsi="Arial" w:cs="Arial"/>
              </w:rPr>
            </w:pPr>
          </w:p>
          <w:p w14:paraId="02D720BF" w14:textId="0A7E3B70" w:rsidR="00912591" w:rsidRPr="0011501D" w:rsidRDefault="0020123D" w:rsidP="0011501D">
            <w:pPr>
              <w:jc w:val="both"/>
              <w:rPr>
                <w:rFonts w:ascii="Arial" w:eastAsia="Arial" w:hAnsi="Arial" w:cs="Arial"/>
                <w:color w:val="000000" w:themeColor="text1"/>
              </w:rPr>
            </w:pPr>
            <w:r w:rsidRPr="0011501D">
              <w:rPr>
                <w:rFonts w:ascii="Arial" w:eastAsia="Arial" w:hAnsi="Arial" w:cs="Arial"/>
                <w:color w:val="000000" w:themeColor="text1"/>
              </w:rPr>
              <w:t>The purpose of this policy is to ensure that DN Colleges Group (DNCG)</w:t>
            </w:r>
            <w:r w:rsidR="0011501D" w:rsidRPr="0011501D">
              <w:rPr>
                <w:rFonts w:ascii="Arial" w:eastAsia="Arial" w:hAnsi="Arial" w:cs="Arial"/>
                <w:color w:val="000000" w:themeColor="text1"/>
              </w:rPr>
              <w:t xml:space="preserve"> has a clear and transparent approach to outstanding academic and commercial debt. </w:t>
            </w:r>
            <w:r w:rsidR="00873F32" w:rsidRPr="0011501D">
              <w:rPr>
                <w:rFonts w:ascii="Arial" w:hAnsi="Arial" w:cs="Arial"/>
                <w:color w:val="000000" w:themeColor="text1"/>
              </w:rPr>
              <w:t xml:space="preserve">This document details </w:t>
            </w:r>
            <w:r w:rsidR="0011501D" w:rsidRPr="0011501D">
              <w:rPr>
                <w:rFonts w:ascii="Arial" w:hAnsi="Arial" w:cs="Arial"/>
                <w:color w:val="000000" w:themeColor="text1"/>
              </w:rPr>
              <w:t xml:space="preserve">DN Colleges Group </w:t>
            </w:r>
            <w:r w:rsidR="00873F32" w:rsidRPr="0011501D">
              <w:rPr>
                <w:rFonts w:ascii="Arial" w:hAnsi="Arial" w:cs="Arial"/>
                <w:color w:val="000000" w:themeColor="text1"/>
              </w:rPr>
              <w:t xml:space="preserve">expectations and procedures for the collection of academic debt owed by any student or former student. </w:t>
            </w:r>
          </w:p>
          <w:p w14:paraId="12100273" w14:textId="77777777" w:rsidR="00912591" w:rsidRDefault="00912591">
            <w:pPr>
              <w:rPr>
                <w:rFonts w:ascii="Arial" w:eastAsia="Arial" w:hAnsi="Arial" w:cs="Arial"/>
              </w:rPr>
            </w:pPr>
          </w:p>
        </w:tc>
      </w:tr>
      <w:tr w:rsidR="00912591" w14:paraId="6D50794E" w14:textId="77777777">
        <w:trPr>
          <w:trHeight w:val="397"/>
        </w:trPr>
        <w:tc>
          <w:tcPr>
            <w:tcW w:w="817" w:type="dxa"/>
            <w:shd w:val="clear" w:color="auto" w:fill="F2F2F2"/>
            <w:vAlign w:val="center"/>
          </w:tcPr>
          <w:p w14:paraId="67C085A7" w14:textId="77777777" w:rsidR="00912591" w:rsidRDefault="0020123D">
            <w:pPr>
              <w:rPr>
                <w:rFonts w:ascii="Arial" w:eastAsia="Arial" w:hAnsi="Arial" w:cs="Arial"/>
                <w:b/>
              </w:rPr>
            </w:pPr>
            <w:r>
              <w:rPr>
                <w:rFonts w:ascii="Arial" w:eastAsia="Arial" w:hAnsi="Arial" w:cs="Arial"/>
                <w:b/>
              </w:rPr>
              <w:t>2</w:t>
            </w:r>
          </w:p>
        </w:tc>
        <w:tc>
          <w:tcPr>
            <w:tcW w:w="9717" w:type="dxa"/>
            <w:gridSpan w:val="2"/>
            <w:shd w:val="clear" w:color="auto" w:fill="F2F2F2"/>
            <w:vAlign w:val="center"/>
          </w:tcPr>
          <w:p w14:paraId="5FD44463" w14:textId="77777777" w:rsidR="00912591" w:rsidRDefault="0020123D">
            <w:pPr>
              <w:rPr>
                <w:rFonts w:ascii="Arial" w:eastAsia="Arial" w:hAnsi="Arial" w:cs="Arial"/>
                <w:b/>
              </w:rPr>
            </w:pPr>
            <w:r>
              <w:rPr>
                <w:rFonts w:ascii="Arial" w:eastAsia="Arial" w:hAnsi="Arial" w:cs="Arial"/>
                <w:b/>
              </w:rPr>
              <w:t>Scope</w:t>
            </w:r>
          </w:p>
        </w:tc>
      </w:tr>
      <w:tr w:rsidR="00912591" w14:paraId="13E2C32B" w14:textId="77777777">
        <w:trPr>
          <w:trHeight w:val="1701"/>
        </w:trPr>
        <w:tc>
          <w:tcPr>
            <w:tcW w:w="817" w:type="dxa"/>
          </w:tcPr>
          <w:p w14:paraId="434AA264" w14:textId="77777777" w:rsidR="00912591" w:rsidRDefault="00912591">
            <w:pPr>
              <w:rPr>
                <w:rFonts w:ascii="Arial" w:eastAsia="Arial" w:hAnsi="Arial" w:cs="Arial"/>
              </w:rPr>
            </w:pPr>
          </w:p>
          <w:p w14:paraId="2144B650" w14:textId="77777777" w:rsidR="00912591" w:rsidRDefault="0020123D">
            <w:pPr>
              <w:rPr>
                <w:rFonts w:ascii="Arial" w:eastAsia="Arial" w:hAnsi="Arial" w:cs="Arial"/>
              </w:rPr>
            </w:pPr>
            <w:r>
              <w:rPr>
                <w:rFonts w:ascii="Arial" w:eastAsia="Arial" w:hAnsi="Arial" w:cs="Arial"/>
              </w:rPr>
              <w:t>2.1</w:t>
            </w:r>
          </w:p>
          <w:p w14:paraId="6412E8B0" w14:textId="77777777" w:rsidR="00912591" w:rsidRDefault="00912591">
            <w:pPr>
              <w:rPr>
                <w:rFonts w:ascii="Arial" w:eastAsia="Arial" w:hAnsi="Arial" w:cs="Arial"/>
              </w:rPr>
            </w:pPr>
          </w:p>
          <w:p w14:paraId="447588AC" w14:textId="77777777" w:rsidR="00912591" w:rsidRDefault="00912591">
            <w:pPr>
              <w:rPr>
                <w:rFonts w:ascii="Arial" w:eastAsia="Arial" w:hAnsi="Arial" w:cs="Arial"/>
              </w:rPr>
            </w:pPr>
          </w:p>
          <w:p w14:paraId="6C08F511" w14:textId="77777777" w:rsidR="00912591" w:rsidRDefault="00912591">
            <w:pPr>
              <w:rPr>
                <w:rFonts w:ascii="Arial" w:eastAsia="Arial" w:hAnsi="Arial" w:cs="Arial"/>
              </w:rPr>
            </w:pPr>
          </w:p>
        </w:tc>
        <w:tc>
          <w:tcPr>
            <w:tcW w:w="9717" w:type="dxa"/>
            <w:gridSpan w:val="2"/>
          </w:tcPr>
          <w:p w14:paraId="2EAE6B10" w14:textId="77777777" w:rsidR="00912591" w:rsidRPr="00302168" w:rsidRDefault="00912591">
            <w:pPr>
              <w:rPr>
                <w:rFonts w:ascii="Arial" w:eastAsia="Arial" w:hAnsi="Arial" w:cs="Arial"/>
              </w:rPr>
            </w:pPr>
          </w:p>
          <w:p w14:paraId="205AF856" w14:textId="5CA24BA1" w:rsidR="0011501D" w:rsidRPr="00302168" w:rsidRDefault="0020123D" w:rsidP="0011501D">
            <w:pPr>
              <w:jc w:val="both"/>
              <w:rPr>
                <w:rFonts w:ascii="Arial" w:hAnsi="Arial" w:cs="Arial"/>
              </w:rPr>
            </w:pPr>
            <w:r w:rsidRPr="00302168">
              <w:rPr>
                <w:rFonts w:ascii="Arial" w:eastAsia="Arial" w:hAnsi="Arial" w:cs="Arial"/>
              </w:rPr>
              <w:t>T</w:t>
            </w:r>
            <w:r w:rsidR="0011501D" w:rsidRPr="00302168">
              <w:rPr>
                <w:rFonts w:ascii="Arial" w:hAnsi="Arial" w:cs="Arial"/>
              </w:rPr>
              <w:t>his document sets out the policy of the DN Colleges and subsidiary companies in relation to commercial debt and student debt where the fee is paid by a sponsor, along with the debt management procedures.</w:t>
            </w:r>
          </w:p>
          <w:p w14:paraId="096961B7" w14:textId="77777777" w:rsidR="0011501D" w:rsidRPr="00302168" w:rsidRDefault="0011501D" w:rsidP="0011501D">
            <w:pPr>
              <w:jc w:val="both"/>
              <w:rPr>
                <w:rFonts w:ascii="Arial" w:hAnsi="Arial" w:cs="Arial"/>
              </w:rPr>
            </w:pPr>
          </w:p>
          <w:p w14:paraId="5CF5C45F" w14:textId="48A257AC" w:rsidR="0011501D" w:rsidRPr="00302168" w:rsidRDefault="0011501D" w:rsidP="0011501D">
            <w:pPr>
              <w:jc w:val="both"/>
              <w:rPr>
                <w:rFonts w:ascii="Arial" w:hAnsi="Arial" w:cs="Arial"/>
              </w:rPr>
            </w:pPr>
            <w:r w:rsidRPr="00302168">
              <w:rPr>
                <w:rFonts w:ascii="Arial" w:hAnsi="Arial" w:cs="Arial"/>
              </w:rPr>
              <w:t>The purpose of this policy is:</w:t>
            </w:r>
          </w:p>
          <w:p w14:paraId="4C1BC19F" w14:textId="77777777" w:rsidR="0011501D" w:rsidRPr="00302168" w:rsidRDefault="0011501D" w:rsidP="0011501D">
            <w:pPr>
              <w:pStyle w:val="ListParagraph"/>
              <w:numPr>
                <w:ilvl w:val="0"/>
                <w:numId w:val="4"/>
              </w:numPr>
              <w:spacing w:after="160" w:line="259" w:lineRule="auto"/>
              <w:ind w:left="636" w:hanging="284"/>
              <w:jc w:val="both"/>
              <w:rPr>
                <w:rFonts w:ascii="Arial" w:hAnsi="Arial" w:cs="Arial"/>
              </w:rPr>
            </w:pPr>
            <w:r w:rsidRPr="00302168">
              <w:rPr>
                <w:rFonts w:ascii="Arial" w:hAnsi="Arial" w:cs="Arial"/>
              </w:rPr>
              <w:t>To ensure payment for invoices, tuition fees and charges are received at the correct time.</w:t>
            </w:r>
          </w:p>
          <w:p w14:paraId="257E1DBF" w14:textId="4E5D6292" w:rsidR="0011501D" w:rsidRPr="00302168" w:rsidRDefault="0011501D" w:rsidP="0011501D">
            <w:pPr>
              <w:pStyle w:val="ListParagraph"/>
              <w:numPr>
                <w:ilvl w:val="0"/>
                <w:numId w:val="4"/>
              </w:numPr>
              <w:spacing w:after="160" w:line="259" w:lineRule="auto"/>
              <w:ind w:left="636" w:hanging="284"/>
              <w:jc w:val="both"/>
              <w:rPr>
                <w:rFonts w:ascii="Arial" w:hAnsi="Arial" w:cs="Arial"/>
              </w:rPr>
            </w:pPr>
            <w:r w:rsidRPr="00302168">
              <w:rPr>
                <w:rFonts w:ascii="Arial" w:hAnsi="Arial" w:cs="Arial"/>
              </w:rPr>
              <w:t>To avoid high levels of debt each year and to reduce the amount of irre</w:t>
            </w:r>
            <w:r w:rsidR="00C13691">
              <w:rPr>
                <w:rFonts w:ascii="Arial" w:hAnsi="Arial" w:cs="Arial"/>
              </w:rPr>
              <w:t>coverable</w:t>
            </w:r>
            <w:r w:rsidRPr="00302168">
              <w:rPr>
                <w:rFonts w:ascii="Arial" w:hAnsi="Arial" w:cs="Arial"/>
              </w:rPr>
              <w:t xml:space="preserve"> debt.</w:t>
            </w:r>
          </w:p>
          <w:p w14:paraId="7247EFCA" w14:textId="5B2C9E6A" w:rsidR="0011501D" w:rsidRPr="00302168" w:rsidRDefault="0011501D" w:rsidP="0011501D">
            <w:pPr>
              <w:pStyle w:val="ListParagraph"/>
              <w:numPr>
                <w:ilvl w:val="0"/>
                <w:numId w:val="4"/>
              </w:numPr>
              <w:spacing w:after="160" w:line="259" w:lineRule="auto"/>
              <w:ind w:left="636" w:hanging="284"/>
              <w:jc w:val="both"/>
              <w:rPr>
                <w:rFonts w:ascii="Arial" w:hAnsi="Arial" w:cs="Arial"/>
              </w:rPr>
            </w:pPr>
            <w:r w:rsidRPr="00302168">
              <w:rPr>
                <w:rFonts w:ascii="Arial" w:hAnsi="Arial" w:cs="Arial"/>
              </w:rPr>
              <w:t xml:space="preserve">To minimise the amount spent on collection and legal </w:t>
            </w:r>
            <w:r w:rsidR="00DA119D" w:rsidRPr="00302168">
              <w:rPr>
                <w:rFonts w:ascii="Arial" w:hAnsi="Arial" w:cs="Arial"/>
              </w:rPr>
              <w:t>charges.</w:t>
            </w:r>
          </w:p>
          <w:p w14:paraId="4CC71C8E" w14:textId="6640BD12" w:rsidR="0011501D" w:rsidRPr="00302168" w:rsidRDefault="0011501D" w:rsidP="0011501D">
            <w:pPr>
              <w:pStyle w:val="ListParagraph"/>
              <w:numPr>
                <w:ilvl w:val="0"/>
                <w:numId w:val="4"/>
              </w:numPr>
              <w:spacing w:after="160" w:line="259" w:lineRule="auto"/>
              <w:ind w:left="636" w:hanging="284"/>
              <w:jc w:val="both"/>
              <w:rPr>
                <w:rFonts w:ascii="Arial" w:hAnsi="Arial" w:cs="Arial"/>
              </w:rPr>
            </w:pPr>
            <w:r w:rsidRPr="00302168">
              <w:rPr>
                <w:rFonts w:ascii="Arial" w:hAnsi="Arial" w:cs="Arial"/>
              </w:rPr>
              <w:t>To provide clarity for customers, students and DN College Group employees alike.</w:t>
            </w:r>
          </w:p>
          <w:p w14:paraId="38BBB385" w14:textId="5BB48146" w:rsidR="00912591" w:rsidRPr="00302168" w:rsidRDefault="00912591" w:rsidP="0011501D">
            <w:pPr>
              <w:ind w:left="1290"/>
              <w:jc w:val="both"/>
              <w:rPr>
                <w:rFonts w:ascii="Arial" w:eastAsia="Arial" w:hAnsi="Arial" w:cs="Arial"/>
                <w:color w:val="0070C0"/>
              </w:rPr>
            </w:pPr>
          </w:p>
        </w:tc>
      </w:tr>
      <w:tr w:rsidR="00912591" w14:paraId="79B86703" w14:textId="77777777">
        <w:trPr>
          <w:trHeight w:val="397"/>
        </w:trPr>
        <w:tc>
          <w:tcPr>
            <w:tcW w:w="817" w:type="dxa"/>
            <w:shd w:val="clear" w:color="auto" w:fill="F2F2F2"/>
            <w:vAlign w:val="center"/>
          </w:tcPr>
          <w:p w14:paraId="7D6617E4" w14:textId="77777777" w:rsidR="00912591" w:rsidRDefault="0020123D">
            <w:pPr>
              <w:rPr>
                <w:rFonts w:ascii="Arial" w:eastAsia="Arial" w:hAnsi="Arial" w:cs="Arial"/>
                <w:b/>
              </w:rPr>
            </w:pPr>
            <w:r>
              <w:rPr>
                <w:rFonts w:ascii="Arial" w:eastAsia="Arial" w:hAnsi="Arial" w:cs="Arial"/>
                <w:b/>
              </w:rPr>
              <w:t>3</w:t>
            </w:r>
          </w:p>
        </w:tc>
        <w:tc>
          <w:tcPr>
            <w:tcW w:w="9717" w:type="dxa"/>
            <w:gridSpan w:val="2"/>
            <w:shd w:val="clear" w:color="auto" w:fill="F2F2F2"/>
            <w:vAlign w:val="center"/>
          </w:tcPr>
          <w:p w14:paraId="50AF8CC6" w14:textId="77777777" w:rsidR="00912591" w:rsidRDefault="0020123D">
            <w:pPr>
              <w:rPr>
                <w:rFonts w:ascii="Arial" w:eastAsia="Arial" w:hAnsi="Arial" w:cs="Arial"/>
                <w:b/>
              </w:rPr>
            </w:pPr>
            <w:r>
              <w:rPr>
                <w:rFonts w:ascii="Arial" w:eastAsia="Arial" w:hAnsi="Arial" w:cs="Arial"/>
                <w:b/>
              </w:rPr>
              <w:t>Responsibilities</w:t>
            </w:r>
          </w:p>
        </w:tc>
      </w:tr>
      <w:tr w:rsidR="00912591" w14:paraId="39BD2FA7" w14:textId="77777777">
        <w:trPr>
          <w:trHeight w:val="1448"/>
        </w:trPr>
        <w:tc>
          <w:tcPr>
            <w:tcW w:w="817" w:type="dxa"/>
          </w:tcPr>
          <w:p w14:paraId="3254CB30" w14:textId="77777777" w:rsidR="00912591" w:rsidRPr="00302168" w:rsidRDefault="00912591">
            <w:pPr>
              <w:rPr>
                <w:rFonts w:ascii="Arial" w:eastAsia="Arial" w:hAnsi="Arial" w:cs="Arial"/>
              </w:rPr>
            </w:pPr>
          </w:p>
          <w:p w14:paraId="7A03B5E5" w14:textId="77777777" w:rsidR="00912591" w:rsidRPr="00302168" w:rsidRDefault="0020123D">
            <w:pPr>
              <w:rPr>
                <w:rFonts w:ascii="Arial" w:eastAsia="Arial" w:hAnsi="Arial" w:cs="Arial"/>
              </w:rPr>
            </w:pPr>
            <w:r w:rsidRPr="00302168">
              <w:rPr>
                <w:rFonts w:ascii="Arial" w:eastAsia="Arial" w:hAnsi="Arial" w:cs="Arial"/>
              </w:rPr>
              <w:t>3.1</w:t>
            </w:r>
          </w:p>
        </w:tc>
        <w:tc>
          <w:tcPr>
            <w:tcW w:w="9717" w:type="dxa"/>
            <w:gridSpan w:val="2"/>
          </w:tcPr>
          <w:p w14:paraId="7B65FAA3" w14:textId="77777777" w:rsidR="00912591" w:rsidRPr="00302168" w:rsidRDefault="00912591">
            <w:pPr>
              <w:rPr>
                <w:rFonts w:ascii="Arial" w:eastAsia="Arial" w:hAnsi="Arial" w:cs="Arial"/>
              </w:rPr>
            </w:pPr>
          </w:p>
          <w:p w14:paraId="695EC7D6" w14:textId="17FFC0B7" w:rsidR="0011501D" w:rsidRPr="00302168" w:rsidRDefault="0011501D" w:rsidP="00E456F4">
            <w:pPr>
              <w:jc w:val="both"/>
              <w:rPr>
                <w:rFonts w:ascii="Arial" w:hAnsi="Arial" w:cs="Arial"/>
              </w:rPr>
            </w:pPr>
            <w:r w:rsidRPr="00302168">
              <w:rPr>
                <w:rFonts w:ascii="Arial" w:hAnsi="Arial" w:cs="Arial"/>
              </w:rPr>
              <w:t>The Director of Finance is responsible for managing and reviewing this policy.</w:t>
            </w:r>
          </w:p>
          <w:p w14:paraId="1F638E49" w14:textId="49565B30" w:rsidR="0011501D" w:rsidRPr="00302168" w:rsidRDefault="0011501D" w:rsidP="00E456F4">
            <w:pPr>
              <w:jc w:val="both"/>
              <w:rPr>
                <w:rFonts w:ascii="Arial" w:hAnsi="Arial" w:cs="Arial"/>
              </w:rPr>
            </w:pPr>
          </w:p>
          <w:p w14:paraId="10F52405" w14:textId="334081FD" w:rsidR="0011501D" w:rsidRPr="00302168" w:rsidRDefault="0011501D" w:rsidP="00E456F4">
            <w:pPr>
              <w:jc w:val="both"/>
              <w:rPr>
                <w:rFonts w:ascii="Arial" w:hAnsi="Arial" w:cs="Arial"/>
              </w:rPr>
            </w:pPr>
            <w:r w:rsidRPr="00302168">
              <w:rPr>
                <w:rFonts w:ascii="Arial" w:hAnsi="Arial" w:cs="Arial"/>
              </w:rPr>
              <w:t>The Head of Finance is responsible for the effective operational implementation.</w:t>
            </w:r>
          </w:p>
          <w:p w14:paraId="4CC7A804" w14:textId="22858AE1" w:rsidR="00C328BE" w:rsidRPr="00302168" w:rsidRDefault="00C328BE" w:rsidP="00E456F4">
            <w:pPr>
              <w:jc w:val="both"/>
              <w:rPr>
                <w:rFonts w:ascii="Arial" w:hAnsi="Arial" w:cs="Arial"/>
              </w:rPr>
            </w:pPr>
          </w:p>
          <w:p w14:paraId="2FD5689D" w14:textId="7EC3CA01" w:rsidR="00C13691" w:rsidRPr="00302168" w:rsidRDefault="00302168" w:rsidP="00C13691">
            <w:pPr>
              <w:jc w:val="both"/>
              <w:rPr>
                <w:rFonts w:ascii="Arial" w:hAnsi="Arial" w:cs="Arial"/>
              </w:rPr>
            </w:pPr>
            <w:r w:rsidRPr="00302168">
              <w:rPr>
                <w:rFonts w:ascii="Arial" w:hAnsi="Arial" w:cs="Arial"/>
              </w:rPr>
              <w:t xml:space="preserve">Head of </w:t>
            </w:r>
            <w:r w:rsidR="00C13691">
              <w:rPr>
                <w:rFonts w:ascii="Arial" w:hAnsi="Arial" w:cs="Arial"/>
              </w:rPr>
              <w:t>Registry</w:t>
            </w:r>
            <w:r w:rsidRPr="00302168">
              <w:rPr>
                <w:rFonts w:ascii="Arial" w:hAnsi="Arial" w:cs="Arial"/>
              </w:rPr>
              <w:t xml:space="preserve"> </w:t>
            </w:r>
            <w:r>
              <w:rPr>
                <w:rFonts w:ascii="Arial" w:hAnsi="Arial" w:cs="Arial"/>
              </w:rPr>
              <w:t>is</w:t>
            </w:r>
            <w:r w:rsidRPr="00302168">
              <w:rPr>
                <w:rFonts w:ascii="Arial" w:hAnsi="Arial" w:cs="Arial"/>
              </w:rPr>
              <w:t xml:space="preserve"> responsible for ensuring that all fees are recorded at enrolment correctly and any fee remissions applied.</w:t>
            </w:r>
            <w:r w:rsidR="00C13691">
              <w:rPr>
                <w:rFonts w:ascii="Arial" w:hAnsi="Arial" w:cs="Arial"/>
              </w:rPr>
              <w:t xml:space="preserve"> </w:t>
            </w:r>
            <w:r w:rsidR="00C13691" w:rsidRPr="00302168">
              <w:rPr>
                <w:rFonts w:ascii="Arial" w:hAnsi="Arial" w:cs="Arial"/>
              </w:rPr>
              <w:t>Registr</w:t>
            </w:r>
            <w:r w:rsidR="00C13691">
              <w:rPr>
                <w:rFonts w:ascii="Arial" w:hAnsi="Arial" w:cs="Arial"/>
              </w:rPr>
              <w:t>y</w:t>
            </w:r>
            <w:r w:rsidR="00C13691" w:rsidRPr="00302168">
              <w:rPr>
                <w:rFonts w:ascii="Arial" w:hAnsi="Arial" w:cs="Arial"/>
              </w:rPr>
              <w:t xml:space="preserve"> are </w:t>
            </w:r>
            <w:r w:rsidR="00C13691">
              <w:rPr>
                <w:rFonts w:ascii="Arial" w:hAnsi="Arial" w:cs="Arial"/>
              </w:rPr>
              <w:t xml:space="preserve">also </w:t>
            </w:r>
            <w:r w:rsidR="00C13691" w:rsidRPr="00302168">
              <w:rPr>
                <w:rFonts w:ascii="Arial" w:hAnsi="Arial" w:cs="Arial"/>
              </w:rPr>
              <w:t xml:space="preserve">responsible for processing withdrawals or transfers timely and updating appropriate fee </w:t>
            </w:r>
            <w:r w:rsidR="00DA119D" w:rsidRPr="00302168">
              <w:rPr>
                <w:rFonts w:ascii="Arial" w:hAnsi="Arial" w:cs="Arial"/>
              </w:rPr>
              <w:t>amendments.</w:t>
            </w:r>
          </w:p>
          <w:p w14:paraId="2546FF85" w14:textId="291B153F" w:rsidR="00302168" w:rsidRPr="00302168" w:rsidRDefault="00302168" w:rsidP="00E456F4">
            <w:pPr>
              <w:jc w:val="both"/>
              <w:rPr>
                <w:rFonts w:ascii="Arial" w:hAnsi="Arial" w:cs="Arial"/>
              </w:rPr>
            </w:pPr>
          </w:p>
          <w:p w14:paraId="698079F8" w14:textId="77777777" w:rsidR="00C13691" w:rsidRDefault="0011501D" w:rsidP="00E456F4">
            <w:pPr>
              <w:jc w:val="both"/>
              <w:rPr>
                <w:rFonts w:ascii="Arial" w:hAnsi="Arial" w:cs="Arial"/>
              </w:rPr>
            </w:pPr>
            <w:r w:rsidRPr="00302168">
              <w:rPr>
                <w:rFonts w:ascii="Arial" w:hAnsi="Arial" w:cs="Arial"/>
              </w:rPr>
              <w:t xml:space="preserve">Employees within the Finance Department and other College staff who are involved with raising invoices, reviewing progress or taking payment are responsible for the effective operation of debt management procedures. </w:t>
            </w:r>
          </w:p>
          <w:p w14:paraId="61603F35" w14:textId="77777777" w:rsidR="00C13691" w:rsidRDefault="00C13691" w:rsidP="00E456F4">
            <w:pPr>
              <w:jc w:val="both"/>
              <w:rPr>
                <w:rFonts w:ascii="Arial" w:hAnsi="Arial" w:cs="Arial"/>
              </w:rPr>
            </w:pPr>
          </w:p>
          <w:p w14:paraId="74253D2C" w14:textId="4465BA75" w:rsidR="0011501D" w:rsidRPr="00302168" w:rsidRDefault="0011501D" w:rsidP="00E456F4">
            <w:pPr>
              <w:jc w:val="both"/>
              <w:rPr>
                <w:rFonts w:ascii="Arial" w:hAnsi="Arial" w:cs="Arial"/>
              </w:rPr>
            </w:pPr>
            <w:r w:rsidRPr="00302168">
              <w:rPr>
                <w:rFonts w:ascii="Arial" w:hAnsi="Arial" w:cs="Arial"/>
              </w:rPr>
              <w:t>All Group employees are expected to be familiar with this policy and to contribute toward its effective implementation.</w:t>
            </w:r>
          </w:p>
          <w:p w14:paraId="124D4783" w14:textId="75195F02" w:rsidR="00912591" w:rsidRPr="00302168" w:rsidRDefault="00912591">
            <w:pPr>
              <w:rPr>
                <w:rFonts w:ascii="Arial" w:eastAsia="Arial" w:hAnsi="Arial" w:cs="Arial"/>
              </w:rPr>
            </w:pPr>
          </w:p>
        </w:tc>
      </w:tr>
      <w:tr w:rsidR="00912591" w14:paraId="1FF04E1C" w14:textId="77777777">
        <w:trPr>
          <w:trHeight w:val="361"/>
        </w:trPr>
        <w:tc>
          <w:tcPr>
            <w:tcW w:w="817" w:type="dxa"/>
            <w:shd w:val="clear" w:color="auto" w:fill="F2F2F2"/>
          </w:tcPr>
          <w:p w14:paraId="29D9E2F3" w14:textId="77777777" w:rsidR="00912591" w:rsidRDefault="0020123D">
            <w:pPr>
              <w:rPr>
                <w:rFonts w:ascii="Arial" w:eastAsia="Arial" w:hAnsi="Arial" w:cs="Arial"/>
                <w:b/>
              </w:rPr>
            </w:pPr>
            <w:r>
              <w:rPr>
                <w:rFonts w:ascii="Arial" w:eastAsia="Arial" w:hAnsi="Arial" w:cs="Arial"/>
                <w:b/>
              </w:rPr>
              <w:t>4</w:t>
            </w:r>
          </w:p>
        </w:tc>
        <w:tc>
          <w:tcPr>
            <w:tcW w:w="9717" w:type="dxa"/>
            <w:gridSpan w:val="2"/>
            <w:shd w:val="clear" w:color="auto" w:fill="F2F2F2"/>
          </w:tcPr>
          <w:p w14:paraId="26E4507B" w14:textId="77777777" w:rsidR="00912591" w:rsidRDefault="0020123D">
            <w:pPr>
              <w:rPr>
                <w:rFonts w:ascii="Arial" w:eastAsia="Arial" w:hAnsi="Arial" w:cs="Arial"/>
                <w:b/>
              </w:rPr>
            </w:pPr>
            <w:r>
              <w:rPr>
                <w:rFonts w:ascii="Arial" w:eastAsia="Arial" w:hAnsi="Arial" w:cs="Arial"/>
                <w:b/>
              </w:rPr>
              <w:t xml:space="preserve">Definitions and/or Relevant Legislation </w:t>
            </w:r>
          </w:p>
        </w:tc>
      </w:tr>
      <w:tr w:rsidR="00912591" w14:paraId="731F499D" w14:textId="77777777" w:rsidTr="00DA119D">
        <w:trPr>
          <w:trHeight w:val="3860"/>
        </w:trPr>
        <w:tc>
          <w:tcPr>
            <w:tcW w:w="817" w:type="dxa"/>
            <w:shd w:val="clear" w:color="auto" w:fill="FFFFFF"/>
          </w:tcPr>
          <w:p w14:paraId="60F15053" w14:textId="77777777" w:rsidR="00912591" w:rsidRDefault="00912591">
            <w:pPr>
              <w:rPr>
                <w:rFonts w:ascii="Arial" w:eastAsia="Arial" w:hAnsi="Arial" w:cs="Arial"/>
              </w:rPr>
            </w:pPr>
          </w:p>
          <w:p w14:paraId="2F0A1A09" w14:textId="1AD388CB" w:rsidR="00912591" w:rsidRDefault="0020123D">
            <w:pPr>
              <w:rPr>
                <w:rFonts w:ascii="Arial" w:eastAsia="Arial" w:hAnsi="Arial" w:cs="Arial"/>
              </w:rPr>
            </w:pPr>
            <w:r>
              <w:rPr>
                <w:rFonts w:ascii="Arial" w:eastAsia="Arial" w:hAnsi="Arial" w:cs="Arial"/>
              </w:rPr>
              <w:t>4.1</w:t>
            </w:r>
          </w:p>
          <w:p w14:paraId="31958DCF" w14:textId="5B4F34F9" w:rsidR="00912591" w:rsidRDefault="00912591">
            <w:pPr>
              <w:rPr>
                <w:rFonts w:ascii="Arial" w:eastAsia="Arial" w:hAnsi="Arial" w:cs="Arial"/>
              </w:rPr>
            </w:pPr>
          </w:p>
        </w:tc>
        <w:tc>
          <w:tcPr>
            <w:tcW w:w="9717" w:type="dxa"/>
            <w:gridSpan w:val="2"/>
            <w:shd w:val="clear" w:color="auto" w:fill="FFFFFF"/>
          </w:tcPr>
          <w:p w14:paraId="0E457CDB" w14:textId="77777777" w:rsidR="00210D79" w:rsidRDefault="00210D79">
            <w:pPr>
              <w:rPr>
                <w:rFonts w:ascii="Arial" w:eastAsia="Arial" w:hAnsi="Arial" w:cs="Arial"/>
                <w:color w:val="000000" w:themeColor="text1"/>
              </w:rPr>
            </w:pPr>
          </w:p>
          <w:p w14:paraId="0AF31807" w14:textId="4566A7F0" w:rsidR="00912591" w:rsidRDefault="00210D79">
            <w:pPr>
              <w:rPr>
                <w:rFonts w:ascii="Arial" w:eastAsia="Arial" w:hAnsi="Arial" w:cs="Arial"/>
              </w:rPr>
            </w:pPr>
            <w:r>
              <w:rPr>
                <w:rFonts w:ascii="Arial" w:eastAsia="Arial" w:hAnsi="Arial" w:cs="Arial"/>
                <w:color w:val="000000" w:themeColor="text1"/>
              </w:rPr>
              <w:t>N/A</w:t>
            </w:r>
          </w:p>
          <w:p w14:paraId="2AED77F2" w14:textId="77777777" w:rsidR="00912591" w:rsidRDefault="00912591">
            <w:pPr>
              <w:rPr>
                <w:rFonts w:ascii="Arial" w:eastAsia="Arial" w:hAnsi="Arial" w:cs="Arial"/>
              </w:rPr>
            </w:pPr>
          </w:p>
        </w:tc>
      </w:tr>
      <w:tr w:rsidR="00912591" w14:paraId="2BFC766A" w14:textId="77777777">
        <w:trPr>
          <w:trHeight w:val="397"/>
        </w:trPr>
        <w:tc>
          <w:tcPr>
            <w:tcW w:w="817" w:type="dxa"/>
            <w:shd w:val="clear" w:color="auto" w:fill="F2F2F2"/>
            <w:vAlign w:val="center"/>
          </w:tcPr>
          <w:p w14:paraId="12580FE9" w14:textId="77777777" w:rsidR="00912591" w:rsidRDefault="0020123D">
            <w:pPr>
              <w:rPr>
                <w:rFonts w:ascii="Arial" w:eastAsia="Arial" w:hAnsi="Arial" w:cs="Arial"/>
                <w:b/>
              </w:rPr>
            </w:pPr>
            <w:r>
              <w:rPr>
                <w:rFonts w:ascii="Arial" w:eastAsia="Arial" w:hAnsi="Arial" w:cs="Arial"/>
                <w:b/>
              </w:rPr>
              <w:lastRenderedPageBreak/>
              <w:t>5</w:t>
            </w:r>
          </w:p>
        </w:tc>
        <w:tc>
          <w:tcPr>
            <w:tcW w:w="9717" w:type="dxa"/>
            <w:gridSpan w:val="2"/>
            <w:shd w:val="clear" w:color="auto" w:fill="F2F2F2"/>
            <w:vAlign w:val="center"/>
          </w:tcPr>
          <w:p w14:paraId="57672B7E" w14:textId="77777777" w:rsidR="00912591" w:rsidRDefault="0020123D">
            <w:pPr>
              <w:rPr>
                <w:rFonts w:ascii="Arial" w:eastAsia="Arial" w:hAnsi="Arial" w:cs="Arial"/>
                <w:b/>
              </w:rPr>
            </w:pPr>
            <w:r>
              <w:rPr>
                <w:rFonts w:ascii="Arial" w:eastAsia="Arial" w:hAnsi="Arial" w:cs="Arial"/>
                <w:b/>
              </w:rPr>
              <w:t>The Policy</w:t>
            </w:r>
          </w:p>
        </w:tc>
      </w:tr>
      <w:tr w:rsidR="00912591" w14:paraId="0FBAEAE2" w14:textId="77777777" w:rsidTr="00DA119D">
        <w:trPr>
          <w:trHeight w:val="7794"/>
        </w:trPr>
        <w:tc>
          <w:tcPr>
            <w:tcW w:w="817" w:type="dxa"/>
          </w:tcPr>
          <w:p w14:paraId="6C6974B5" w14:textId="77777777" w:rsidR="00DA119D" w:rsidRDefault="00DA119D">
            <w:pPr>
              <w:rPr>
                <w:rFonts w:ascii="Arial" w:eastAsia="Arial" w:hAnsi="Arial" w:cs="Arial"/>
              </w:rPr>
            </w:pPr>
          </w:p>
          <w:p w14:paraId="2A0C1095" w14:textId="5C4F61D8" w:rsidR="00912591" w:rsidRDefault="0020123D">
            <w:pPr>
              <w:rPr>
                <w:rFonts w:ascii="Arial" w:eastAsia="Arial" w:hAnsi="Arial" w:cs="Arial"/>
              </w:rPr>
            </w:pPr>
            <w:r>
              <w:rPr>
                <w:rFonts w:ascii="Arial" w:eastAsia="Arial" w:hAnsi="Arial" w:cs="Arial"/>
              </w:rPr>
              <w:t>5.1</w:t>
            </w:r>
          </w:p>
          <w:p w14:paraId="4AD3BD48" w14:textId="77777777" w:rsidR="00912591" w:rsidRDefault="00912591">
            <w:pPr>
              <w:rPr>
                <w:rFonts w:ascii="Arial" w:eastAsia="Arial" w:hAnsi="Arial" w:cs="Arial"/>
              </w:rPr>
            </w:pPr>
          </w:p>
          <w:p w14:paraId="0DA38334" w14:textId="77777777" w:rsidR="00FE6659" w:rsidRDefault="00FE6659">
            <w:pPr>
              <w:rPr>
                <w:rFonts w:ascii="Arial" w:eastAsia="Arial" w:hAnsi="Arial" w:cs="Arial"/>
              </w:rPr>
            </w:pPr>
          </w:p>
          <w:p w14:paraId="2928287E" w14:textId="77777777" w:rsidR="00FE6659" w:rsidRDefault="00FE6659">
            <w:pPr>
              <w:rPr>
                <w:rFonts w:ascii="Arial" w:eastAsia="Arial" w:hAnsi="Arial" w:cs="Arial"/>
              </w:rPr>
            </w:pPr>
          </w:p>
          <w:p w14:paraId="74806920" w14:textId="77777777" w:rsidR="00FE6659" w:rsidRDefault="00FE6659">
            <w:pPr>
              <w:rPr>
                <w:rFonts w:ascii="Arial" w:eastAsia="Arial" w:hAnsi="Arial" w:cs="Arial"/>
              </w:rPr>
            </w:pPr>
          </w:p>
          <w:p w14:paraId="304B1BB7" w14:textId="77777777" w:rsidR="00FE6659" w:rsidRDefault="00FE6659">
            <w:pPr>
              <w:rPr>
                <w:rFonts w:ascii="Arial" w:eastAsia="Arial" w:hAnsi="Arial" w:cs="Arial"/>
              </w:rPr>
            </w:pPr>
          </w:p>
          <w:p w14:paraId="739318A7" w14:textId="77777777" w:rsidR="00FE6659" w:rsidRDefault="00FE6659">
            <w:pPr>
              <w:rPr>
                <w:rFonts w:ascii="Arial" w:eastAsia="Arial" w:hAnsi="Arial" w:cs="Arial"/>
              </w:rPr>
            </w:pPr>
          </w:p>
          <w:p w14:paraId="58AE6A13" w14:textId="77777777" w:rsidR="00FE6659" w:rsidRDefault="00FE6659">
            <w:pPr>
              <w:rPr>
                <w:rFonts w:ascii="Arial" w:eastAsia="Arial" w:hAnsi="Arial" w:cs="Arial"/>
              </w:rPr>
            </w:pPr>
          </w:p>
          <w:p w14:paraId="3E7F3A14" w14:textId="77777777" w:rsidR="00FE6659" w:rsidRDefault="00FE6659">
            <w:pPr>
              <w:rPr>
                <w:rFonts w:ascii="Arial" w:eastAsia="Arial" w:hAnsi="Arial" w:cs="Arial"/>
              </w:rPr>
            </w:pPr>
          </w:p>
          <w:p w14:paraId="0C892179" w14:textId="77777777" w:rsidR="00FE6659" w:rsidRDefault="00FE6659">
            <w:pPr>
              <w:rPr>
                <w:rFonts w:ascii="Arial" w:eastAsia="Arial" w:hAnsi="Arial" w:cs="Arial"/>
              </w:rPr>
            </w:pPr>
          </w:p>
          <w:p w14:paraId="3B4D5123" w14:textId="77777777" w:rsidR="00FE6659" w:rsidRDefault="00FE6659">
            <w:pPr>
              <w:rPr>
                <w:rFonts w:ascii="Arial" w:eastAsia="Arial" w:hAnsi="Arial" w:cs="Arial"/>
              </w:rPr>
            </w:pPr>
          </w:p>
          <w:p w14:paraId="331FB1C3" w14:textId="77777777" w:rsidR="00FE6659" w:rsidRDefault="00FE6659">
            <w:pPr>
              <w:rPr>
                <w:rFonts w:ascii="Arial" w:eastAsia="Arial" w:hAnsi="Arial" w:cs="Arial"/>
              </w:rPr>
            </w:pPr>
          </w:p>
          <w:p w14:paraId="4C2C9B9D" w14:textId="77777777" w:rsidR="00FE6659" w:rsidRDefault="00FE6659">
            <w:pPr>
              <w:rPr>
                <w:rFonts w:ascii="Arial" w:eastAsia="Arial" w:hAnsi="Arial" w:cs="Arial"/>
              </w:rPr>
            </w:pPr>
          </w:p>
          <w:p w14:paraId="3FDAB8E4" w14:textId="77777777" w:rsidR="00FE6659" w:rsidRDefault="00FE6659">
            <w:pPr>
              <w:rPr>
                <w:rFonts w:ascii="Arial" w:eastAsia="Arial" w:hAnsi="Arial" w:cs="Arial"/>
              </w:rPr>
            </w:pPr>
          </w:p>
          <w:p w14:paraId="5C6AC683" w14:textId="77777777" w:rsidR="00FE6659" w:rsidRDefault="00FE6659">
            <w:pPr>
              <w:rPr>
                <w:rFonts w:ascii="Arial" w:eastAsia="Arial" w:hAnsi="Arial" w:cs="Arial"/>
              </w:rPr>
            </w:pPr>
          </w:p>
          <w:p w14:paraId="69EF8770" w14:textId="77777777" w:rsidR="00FE6659" w:rsidRDefault="00FE6659">
            <w:pPr>
              <w:rPr>
                <w:rFonts w:ascii="Arial" w:eastAsia="Arial" w:hAnsi="Arial" w:cs="Arial"/>
              </w:rPr>
            </w:pPr>
          </w:p>
          <w:p w14:paraId="184DDE7A" w14:textId="77777777" w:rsidR="00FE6659" w:rsidRDefault="00FE6659">
            <w:pPr>
              <w:rPr>
                <w:rFonts w:ascii="Arial" w:eastAsia="Arial" w:hAnsi="Arial" w:cs="Arial"/>
              </w:rPr>
            </w:pPr>
          </w:p>
          <w:p w14:paraId="428FA298" w14:textId="77777777" w:rsidR="00FE6659" w:rsidRDefault="00FE6659">
            <w:pPr>
              <w:rPr>
                <w:rFonts w:ascii="Arial" w:eastAsia="Arial" w:hAnsi="Arial" w:cs="Arial"/>
              </w:rPr>
            </w:pPr>
          </w:p>
          <w:p w14:paraId="695B61BE" w14:textId="77777777" w:rsidR="00FE6659" w:rsidRDefault="00FE6659">
            <w:pPr>
              <w:rPr>
                <w:rFonts w:ascii="Arial" w:eastAsia="Arial" w:hAnsi="Arial" w:cs="Arial"/>
              </w:rPr>
            </w:pPr>
          </w:p>
          <w:p w14:paraId="2EFFE62D" w14:textId="77777777" w:rsidR="00FE6659" w:rsidRDefault="00FE6659">
            <w:pPr>
              <w:rPr>
                <w:rFonts w:ascii="Arial" w:eastAsia="Arial" w:hAnsi="Arial" w:cs="Arial"/>
              </w:rPr>
            </w:pPr>
          </w:p>
          <w:p w14:paraId="449BF238" w14:textId="77777777" w:rsidR="00FE6659" w:rsidRDefault="00FE6659">
            <w:pPr>
              <w:rPr>
                <w:rFonts w:ascii="Arial" w:eastAsia="Arial" w:hAnsi="Arial" w:cs="Arial"/>
              </w:rPr>
            </w:pPr>
          </w:p>
          <w:p w14:paraId="242946A2" w14:textId="77777777" w:rsidR="00FE6659" w:rsidRDefault="00FE6659">
            <w:pPr>
              <w:rPr>
                <w:rFonts w:ascii="Arial" w:eastAsia="Arial" w:hAnsi="Arial" w:cs="Arial"/>
              </w:rPr>
            </w:pPr>
          </w:p>
          <w:p w14:paraId="0C7DA766" w14:textId="77777777" w:rsidR="00FE6659" w:rsidRDefault="00FE6659">
            <w:pPr>
              <w:rPr>
                <w:rFonts w:ascii="Arial" w:eastAsia="Arial" w:hAnsi="Arial" w:cs="Arial"/>
              </w:rPr>
            </w:pPr>
          </w:p>
          <w:p w14:paraId="45D53307" w14:textId="77777777" w:rsidR="00FE6659" w:rsidRDefault="00FE6659">
            <w:pPr>
              <w:rPr>
                <w:rFonts w:ascii="Arial" w:eastAsia="Arial" w:hAnsi="Arial" w:cs="Arial"/>
              </w:rPr>
            </w:pPr>
          </w:p>
          <w:p w14:paraId="49970068" w14:textId="77777777" w:rsidR="00FE6659" w:rsidRDefault="00FE6659">
            <w:pPr>
              <w:rPr>
                <w:rFonts w:ascii="Arial" w:eastAsia="Arial" w:hAnsi="Arial" w:cs="Arial"/>
              </w:rPr>
            </w:pPr>
          </w:p>
          <w:p w14:paraId="72679711" w14:textId="77777777" w:rsidR="00FE6659" w:rsidRDefault="00FE6659">
            <w:pPr>
              <w:rPr>
                <w:rFonts w:ascii="Arial" w:eastAsia="Arial" w:hAnsi="Arial" w:cs="Arial"/>
              </w:rPr>
            </w:pPr>
          </w:p>
          <w:p w14:paraId="312C7618" w14:textId="77777777" w:rsidR="00FE6659" w:rsidRDefault="00FE6659">
            <w:pPr>
              <w:rPr>
                <w:rFonts w:ascii="Arial" w:eastAsia="Arial" w:hAnsi="Arial" w:cs="Arial"/>
              </w:rPr>
            </w:pPr>
          </w:p>
          <w:p w14:paraId="5ACEE6F4" w14:textId="77777777" w:rsidR="00FE6659" w:rsidRDefault="00FE6659">
            <w:pPr>
              <w:rPr>
                <w:rFonts w:ascii="Arial" w:eastAsia="Arial" w:hAnsi="Arial" w:cs="Arial"/>
              </w:rPr>
            </w:pPr>
          </w:p>
          <w:p w14:paraId="7C9B83FA" w14:textId="77777777" w:rsidR="00FE6659" w:rsidRDefault="00FE6659">
            <w:pPr>
              <w:rPr>
                <w:rFonts w:ascii="Arial" w:eastAsia="Arial" w:hAnsi="Arial" w:cs="Arial"/>
              </w:rPr>
            </w:pPr>
          </w:p>
          <w:p w14:paraId="59E41046" w14:textId="77777777" w:rsidR="00FE6659" w:rsidRDefault="00FE6659">
            <w:pPr>
              <w:rPr>
                <w:rFonts w:ascii="Arial" w:eastAsia="Arial" w:hAnsi="Arial" w:cs="Arial"/>
              </w:rPr>
            </w:pPr>
          </w:p>
          <w:p w14:paraId="4C53DFA3" w14:textId="77777777" w:rsidR="00FE6659" w:rsidRDefault="00FE6659">
            <w:pPr>
              <w:rPr>
                <w:rFonts w:ascii="Arial" w:eastAsia="Arial" w:hAnsi="Arial" w:cs="Arial"/>
              </w:rPr>
            </w:pPr>
          </w:p>
          <w:p w14:paraId="39E3154B" w14:textId="77777777" w:rsidR="00FE6659" w:rsidRDefault="00FE6659">
            <w:pPr>
              <w:rPr>
                <w:rFonts w:ascii="Arial" w:eastAsia="Arial" w:hAnsi="Arial" w:cs="Arial"/>
              </w:rPr>
            </w:pPr>
          </w:p>
          <w:p w14:paraId="4B79F07E" w14:textId="77777777" w:rsidR="00FE6659" w:rsidRDefault="00FE6659">
            <w:pPr>
              <w:rPr>
                <w:rFonts w:ascii="Arial" w:eastAsia="Arial" w:hAnsi="Arial" w:cs="Arial"/>
              </w:rPr>
            </w:pPr>
          </w:p>
          <w:p w14:paraId="02948C25" w14:textId="77777777" w:rsidR="00FE6659" w:rsidRDefault="00FE6659">
            <w:pPr>
              <w:rPr>
                <w:rFonts w:ascii="Arial" w:eastAsia="Arial" w:hAnsi="Arial" w:cs="Arial"/>
              </w:rPr>
            </w:pPr>
          </w:p>
          <w:p w14:paraId="4BC8FDA2" w14:textId="77777777" w:rsidR="00FE6659" w:rsidRDefault="00FE6659">
            <w:pPr>
              <w:rPr>
                <w:rFonts w:ascii="Arial" w:eastAsia="Arial" w:hAnsi="Arial" w:cs="Arial"/>
              </w:rPr>
            </w:pPr>
          </w:p>
          <w:p w14:paraId="1F778E6F" w14:textId="77777777" w:rsidR="00FE6659" w:rsidRDefault="00FE6659">
            <w:pPr>
              <w:rPr>
                <w:rFonts w:ascii="Arial" w:eastAsia="Arial" w:hAnsi="Arial" w:cs="Arial"/>
              </w:rPr>
            </w:pPr>
          </w:p>
          <w:p w14:paraId="3CFA488E" w14:textId="77777777" w:rsidR="00FE6659" w:rsidRDefault="00FE6659">
            <w:pPr>
              <w:rPr>
                <w:rFonts w:ascii="Arial" w:eastAsia="Arial" w:hAnsi="Arial" w:cs="Arial"/>
              </w:rPr>
            </w:pPr>
          </w:p>
          <w:p w14:paraId="669AF1B3" w14:textId="77777777" w:rsidR="00FE6659" w:rsidRDefault="00FE6659">
            <w:pPr>
              <w:rPr>
                <w:rFonts w:ascii="Arial" w:eastAsia="Arial" w:hAnsi="Arial" w:cs="Arial"/>
              </w:rPr>
            </w:pPr>
          </w:p>
          <w:p w14:paraId="2193AA37" w14:textId="77777777" w:rsidR="00FE6659" w:rsidRDefault="00FE6659">
            <w:pPr>
              <w:rPr>
                <w:rFonts w:ascii="Arial" w:eastAsia="Arial" w:hAnsi="Arial" w:cs="Arial"/>
              </w:rPr>
            </w:pPr>
          </w:p>
          <w:p w14:paraId="47C100D8" w14:textId="77777777" w:rsidR="00FE6659" w:rsidRDefault="00FE6659">
            <w:pPr>
              <w:rPr>
                <w:rFonts w:ascii="Arial" w:eastAsia="Arial" w:hAnsi="Arial" w:cs="Arial"/>
              </w:rPr>
            </w:pPr>
          </w:p>
          <w:p w14:paraId="05227795" w14:textId="77777777" w:rsidR="00FE6659" w:rsidRDefault="00FE6659">
            <w:pPr>
              <w:rPr>
                <w:rFonts w:ascii="Arial" w:eastAsia="Arial" w:hAnsi="Arial" w:cs="Arial"/>
              </w:rPr>
            </w:pPr>
          </w:p>
          <w:p w14:paraId="1D47DFDB" w14:textId="77777777" w:rsidR="00FE6659" w:rsidRDefault="00FE6659">
            <w:pPr>
              <w:rPr>
                <w:rFonts w:ascii="Arial" w:eastAsia="Arial" w:hAnsi="Arial" w:cs="Arial"/>
              </w:rPr>
            </w:pPr>
          </w:p>
          <w:p w14:paraId="2E57858D" w14:textId="77777777" w:rsidR="00FE6659" w:rsidRDefault="00FE6659">
            <w:pPr>
              <w:rPr>
                <w:rFonts w:ascii="Arial" w:eastAsia="Arial" w:hAnsi="Arial" w:cs="Arial"/>
              </w:rPr>
            </w:pPr>
          </w:p>
          <w:p w14:paraId="3872E2F3" w14:textId="77777777" w:rsidR="00FE6659" w:rsidRDefault="00FE6659">
            <w:pPr>
              <w:rPr>
                <w:rFonts w:ascii="Arial" w:eastAsia="Arial" w:hAnsi="Arial" w:cs="Arial"/>
              </w:rPr>
            </w:pPr>
          </w:p>
          <w:p w14:paraId="09BE1D5F" w14:textId="77777777" w:rsidR="00FE6659" w:rsidRDefault="00FE6659">
            <w:pPr>
              <w:rPr>
                <w:rFonts w:ascii="Arial" w:eastAsia="Arial" w:hAnsi="Arial" w:cs="Arial"/>
              </w:rPr>
            </w:pPr>
          </w:p>
          <w:p w14:paraId="195F855C" w14:textId="77777777" w:rsidR="00FE6659" w:rsidRDefault="00FE6659">
            <w:pPr>
              <w:rPr>
                <w:rFonts w:ascii="Arial" w:eastAsia="Arial" w:hAnsi="Arial" w:cs="Arial"/>
              </w:rPr>
            </w:pPr>
          </w:p>
          <w:p w14:paraId="5C379F49" w14:textId="77777777" w:rsidR="00FE6659" w:rsidRDefault="00FE6659">
            <w:pPr>
              <w:rPr>
                <w:rFonts w:ascii="Arial" w:eastAsia="Arial" w:hAnsi="Arial" w:cs="Arial"/>
              </w:rPr>
            </w:pPr>
          </w:p>
          <w:p w14:paraId="13373AB1" w14:textId="77777777" w:rsidR="00FE6659" w:rsidRDefault="00FE6659">
            <w:pPr>
              <w:rPr>
                <w:rFonts w:ascii="Arial" w:eastAsia="Arial" w:hAnsi="Arial" w:cs="Arial"/>
              </w:rPr>
            </w:pPr>
          </w:p>
          <w:p w14:paraId="6FBDE40E" w14:textId="77777777" w:rsidR="00FE6659" w:rsidRDefault="00FE6659">
            <w:pPr>
              <w:rPr>
                <w:rFonts w:ascii="Arial" w:eastAsia="Arial" w:hAnsi="Arial" w:cs="Arial"/>
              </w:rPr>
            </w:pPr>
          </w:p>
          <w:p w14:paraId="32C50EF3" w14:textId="77777777" w:rsidR="00FE6659" w:rsidRDefault="00FE6659">
            <w:pPr>
              <w:rPr>
                <w:rFonts w:ascii="Arial" w:eastAsia="Arial" w:hAnsi="Arial" w:cs="Arial"/>
              </w:rPr>
            </w:pPr>
          </w:p>
          <w:p w14:paraId="1459B6E1" w14:textId="77777777" w:rsidR="00FE6659" w:rsidRDefault="00FE6659">
            <w:pPr>
              <w:rPr>
                <w:rFonts w:ascii="Arial" w:eastAsia="Arial" w:hAnsi="Arial" w:cs="Arial"/>
              </w:rPr>
            </w:pPr>
          </w:p>
          <w:p w14:paraId="30918E70" w14:textId="77777777" w:rsidR="00FE6659" w:rsidRDefault="00FE6659">
            <w:pPr>
              <w:rPr>
                <w:rFonts w:ascii="Arial" w:eastAsia="Arial" w:hAnsi="Arial" w:cs="Arial"/>
              </w:rPr>
            </w:pPr>
          </w:p>
          <w:p w14:paraId="64B368DA" w14:textId="77777777" w:rsidR="00FE6659" w:rsidRDefault="00FE6659">
            <w:pPr>
              <w:rPr>
                <w:rFonts w:ascii="Arial" w:eastAsia="Arial" w:hAnsi="Arial" w:cs="Arial"/>
              </w:rPr>
            </w:pPr>
          </w:p>
          <w:p w14:paraId="5B6CC7BF" w14:textId="77777777" w:rsidR="00FE6659" w:rsidRDefault="00FE6659">
            <w:pPr>
              <w:rPr>
                <w:rFonts w:ascii="Arial" w:eastAsia="Arial" w:hAnsi="Arial" w:cs="Arial"/>
              </w:rPr>
            </w:pPr>
          </w:p>
          <w:p w14:paraId="34B710FB" w14:textId="77777777" w:rsidR="00FE6659" w:rsidRDefault="00FE6659">
            <w:pPr>
              <w:rPr>
                <w:rFonts w:ascii="Arial" w:eastAsia="Arial" w:hAnsi="Arial" w:cs="Arial"/>
              </w:rPr>
            </w:pPr>
          </w:p>
          <w:p w14:paraId="2BE4E3E5" w14:textId="7737DA1A" w:rsidR="00FE6659" w:rsidRDefault="00FE6659">
            <w:pPr>
              <w:rPr>
                <w:rFonts w:ascii="Arial" w:eastAsia="Arial" w:hAnsi="Arial" w:cs="Arial"/>
              </w:rPr>
            </w:pPr>
          </w:p>
        </w:tc>
        <w:tc>
          <w:tcPr>
            <w:tcW w:w="9717" w:type="dxa"/>
            <w:gridSpan w:val="2"/>
          </w:tcPr>
          <w:p w14:paraId="6EFAABEC" w14:textId="77777777" w:rsidR="00DA119D" w:rsidRDefault="00DA119D" w:rsidP="00FE6659">
            <w:pPr>
              <w:jc w:val="both"/>
              <w:rPr>
                <w:rFonts w:ascii="Arial" w:hAnsi="Arial" w:cs="Arial"/>
                <w:b/>
              </w:rPr>
            </w:pPr>
          </w:p>
          <w:p w14:paraId="76D12DDD" w14:textId="24AF2A68" w:rsidR="00E456F4" w:rsidRPr="00FE6659" w:rsidRDefault="00E456F4" w:rsidP="00FE6659">
            <w:pPr>
              <w:jc w:val="both"/>
              <w:rPr>
                <w:rFonts w:ascii="Arial" w:hAnsi="Arial" w:cs="Arial"/>
                <w:b/>
              </w:rPr>
            </w:pPr>
            <w:r w:rsidRPr="00FE6659">
              <w:rPr>
                <w:rFonts w:ascii="Arial" w:hAnsi="Arial" w:cs="Arial"/>
                <w:b/>
              </w:rPr>
              <w:t>Payment of Fees</w:t>
            </w:r>
          </w:p>
          <w:p w14:paraId="51D96C3F" w14:textId="77777777" w:rsidR="00E456F4" w:rsidRPr="00FE6659" w:rsidRDefault="00E456F4" w:rsidP="00FE6659">
            <w:pPr>
              <w:jc w:val="both"/>
              <w:rPr>
                <w:rFonts w:ascii="Arial" w:hAnsi="Arial" w:cs="Arial"/>
              </w:rPr>
            </w:pPr>
          </w:p>
          <w:p w14:paraId="0C790A33" w14:textId="2606BFEE" w:rsidR="001B6FA1" w:rsidRDefault="001B6FA1" w:rsidP="001B6FA1">
            <w:pPr>
              <w:tabs>
                <w:tab w:val="left" w:pos="720"/>
                <w:tab w:val="left" w:pos="1440"/>
              </w:tabs>
              <w:jc w:val="both"/>
              <w:rPr>
                <w:rFonts w:ascii="Arial" w:hAnsi="Arial" w:cs="Arial"/>
              </w:rPr>
            </w:pPr>
            <w:r w:rsidRPr="00556D53">
              <w:rPr>
                <w:rFonts w:ascii="Tahoma" w:hAnsi="Tahoma" w:cs="Tahoma"/>
              </w:rPr>
              <w:t>No student will be enrolled who has any debt outstanding from the prior year.</w:t>
            </w:r>
            <w:r>
              <w:rPr>
                <w:rFonts w:ascii="Tahoma" w:hAnsi="Tahoma" w:cs="Tahoma"/>
              </w:rPr>
              <w:t xml:space="preserve"> </w:t>
            </w:r>
            <w:r w:rsidRPr="00556D53">
              <w:rPr>
                <w:rFonts w:ascii="Tahoma" w:hAnsi="Tahoma" w:cs="Tahoma"/>
              </w:rPr>
              <w:t xml:space="preserve"> This will be indicated by a flag showing on the system.</w:t>
            </w:r>
            <w:r>
              <w:rPr>
                <w:rFonts w:ascii="Tahoma" w:hAnsi="Tahoma" w:cs="Tahoma"/>
              </w:rPr>
              <w:t xml:space="preserve"> </w:t>
            </w:r>
            <w:r w:rsidRPr="00556D53">
              <w:rPr>
                <w:rFonts w:ascii="Tahoma" w:hAnsi="Tahoma" w:cs="Tahoma"/>
              </w:rPr>
              <w:t xml:space="preserve"> If a student falls into this </w:t>
            </w:r>
            <w:r w:rsidR="00DA119D" w:rsidRPr="00556D53">
              <w:rPr>
                <w:rFonts w:ascii="Tahoma" w:hAnsi="Tahoma" w:cs="Tahoma"/>
              </w:rPr>
              <w:t>category,</w:t>
            </w:r>
            <w:r w:rsidRPr="00556D53">
              <w:rPr>
                <w:rFonts w:ascii="Tahoma" w:hAnsi="Tahoma" w:cs="Tahoma"/>
              </w:rPr>
              <w:t xml:space="preserve"> then they will not be allowed to enrol unless agreed </w:t>
            </w:r>
            <w:r w:rsidRPr="005A424E">
              <w:rPr>
                <w:rFonts w:ascii="Arial" w:hAnsi="Arial" w:cs="Arial"/>
              </w:rPr>
              <w:t xml:space="preserve">by the </w:t>
            </w:r>
            <w:r w:rsidR="00C13691">
              <w:rPr>
                <w:rFonts w:ascii="Arial" w:hAnsi="Arial" w:cs="Arial"/>
              </w:rPr>
              <w:t xml:space="preserve">Vice </w:t>
            </w:r>
            <w:r w:rsidRPr="005A424E">
              <w:rPr>
                <w:rFonts w:ascii="Arial" w:hAnsi="Arial" w:cs="Arial"/>
              </w:rPr>
              <w:t>Principal</w:t>
            </w:r>
            <w:r w:rsidR="00C13691">
              <w:rPr>
                <w:rFonts w:ascii="Arial" w:hAnsi="Arial" w:cs="Arial"/>
              </w:rPr>
              <w:t xml:space="preserve">’s for Further and Higher Education </w:t>
            </w:r>
            <w:r w:rsidRPr="005A424E">
              <w:rPr>
                <w:rFonts w:ascii="Arial" w:hAnsi="Arial" w:cs="Arial"/>
              </w:rPr>
              <w:t>or Director of Finance.</w:t>
            </w:r>
          </w:p>
          <w:p w14:paraId="4B900FAB" w14:textId="77777777" w:rsidR="00210D79" w:rsidRPr="005A424E" w:rsidRDefault="00210D79" w:rsidP="001B6FA1">
            <w:pPr>
              <w:tabs>
                <w:tab w:val="left" w:pos="720"/>
                <w:tab w:val="left" w:pos="1440"/>
              </w:tabs>
              <w:jc w:val="both"/>
              <w:rPr>
                <w:rFonts w:ascii="Arial" w:hAnsi="Arial" w:cs="Arial"/>
              </w:rPr>
            </w:pPr>
          </w:p>
          <w:p w14:paraId="355D012D" w14:textId="2217BA3A" w:rsidR="00785E19" w:rsidRPr="00FE6659" w:rsidRDefault="005A424E" w:rsidP="00785E19">
            <w:pPr>
              <w:spacing w:after="160" w:line="259" w:lineRule="auto"/>
              <w:jc w:val="both"/>
              <w:rPr>
                <w:rFonts w:ascii="Arial" w:hAnsi="Arial" w:cs="Arial"/>
                <w:b/>
              </w:rPr>
            </w:pPr>
            <w:r w:rsidRPr="005A424E">
              <w:rPr>
                <w:rFonts w:ascii="Arial" w:hAnsi="Arial" w:cs="Arial"/>
              </w:rPr>
              <w:t xml:space="preserve">Fees will be due at the start of each academic year or period of study for the whole programme or course.  </w:t>
            </w:r>
            <w:r w:rsidR="00785E19" w:rsidRPr="00FE6659">
              <w:rPr>
                <w:rFonts w:ascii="Arial" w:hAnsi="Arial" w:cs="Arial"/>
              </w:rPr>
              <w:t xml:space="preserve">An invoice will be issued to the </w:t>
            </w:r>
            <w:r w:rsidR="00785E19">
              <w:rPr>
                <w:rFonts w:ascii="Arial" w:hAnsi="Arial" w:cs="Arial"/>
              </w:rPr>
              <w:t>student</w:t>
            </w:r>
            <w:r w:rsidR="00785E19" w:rsidRPr="00FE6659">
              <w:rPr>
                <w:rFonts w:ascii="Arial" w:hAnsi="Arial" w:cs="Arial"/>
              </w:rPr>
              <w:t xml:space="preserve"> shortly after the enrolment date.  Payment should be paid in full within 30 days from the date of the invoice. </w:t>
            </w:r>
          </w:p>
          <w:p w14:paraId="60FCCDCA" w14:textId="4C02E8C0" w:rsidR="005A424E" w:rsidRPr="005A424E" w:rsidRDefault="005A424E" w:rsidP="001B6FA1">
            <w:pPr>
              <w:tabs>
                <w:tab w:val="left" w:pos="720"/>
                <w:tab w:val="left" w:pos="1440"/>
              </w:tabs>
              <w:jc w:val="both"/>
              <w:rPr>
                <w:rFonts w:ascii="Arial" w:hAnsi="Arial" w:cs="Arial"/>
              </w:rPr>
            </w:pPr>
            <w:r w:rsidRPr="005A424E">
              <w:rPr>
                <w:rFonts w:ascii="Arial" w:hAnsi="Arial" w:cs="Arial"/>
              </w:rPr>
              <w:t xml:space="preserve">Progression through a programme of study may be affected if this obligation is not fulfilled.  It is the responsibility of the student to ensure that the necessary funds are in place to pay their fees. </w:t>
            </w:r>
          </w:p>
          <w:p w14:paraId="1A890180" w14:textId="77777777" w:rsidR="001B6FA1" w:rsidRPr="005A424E" w:rsidRDefault="001B6FA1" w:rsidP="001B6FA1">
            <w:pPr>
              <w:tabs>
                <w:tab w:val="left" w:pos="1440"/>
              </w:tabs>
              <w:ind w:left="1061"/>
              <w:jc w:val="both"/>
              <w:rPr>
                <w:rFonts w:ascii="Arial" w:hAnsi="Arial" w:cs="Arial"/>
              </w:rPr>
            </w:pPr>
          </w:p>
          <w:p w14:paraId="150B3D1B" w14:textId="0770769F" w:rsidR="001B6FA1" w:rsidRPr="005A424E" w:rsidRDefault="001B6FA1" w:rsidP="001B6FA1">
            <w:pPr>
              <w:jc w:val="both"/>
              <w:rPr>
                <w:rFonts w:ascii="Arial" w:hAnsi="Arial" w:cs="Arial"/>
              </w:rPr>
            </w:pPr>
            <w:r w:rsidRPr="005A424E">
              <w:rPr>
                <w:rFonts w:ascii="Arial" w:hAnsi="Arial" w:cs="Arial"/>
              </w:rPr>
              <w:t>At enrolment the student should indicate how any fees are going to be discharged. In virtually all cases this will fall into one of three categories:</w:t>
            </w:r>
          </w:p>
          <w:p w14:paraId="6B33F1B9" w14:textId="77777777" w:rsidR="001B6FA1" w:rsidRPr="005A424E" w:rsidRDefault="001B6FA1" w:rsidP="001B6FA1">
            <w:pPr>
              <w:numPr>
                <w:ilvl w:val="0"/>
                <w:numId w:val="10"/>
              </w:numPr>
              <w:ind w:left="1061" w:hanging="567"/>
              <w:jc w:val="both"/>
              <w:rPr>
                <w:rFonts w:ascii="Arial" w:hAnsi="Arial" w:cs="Arial"/>
              </w:rPr>
            </w:pPr>
            <w:r w:rsidRPr="005A424E">
              <w:rPr>
                <w:rFonts w:ascii="Arial" w:hAnsi="Arial" w:cs="Arial"/>
              </w:rPr>
              <w:t>Settlement by student themselves</w:t>
            </w:r>
          </w:p>
          <w:p w14:paraId="42CD39E5" w14:textId="7CD3B948" w:rsidR="001B6FA1" w:rsidRPr="00556D53" w:rsidRDefault="001B6FA1" w:rsidP="001B6FA1">
            <w:pPr>
              <w:numPr>
                <w:ilvl w:val="0"/>
                <w:numId w:val="10"/>
              </w:numPr>
              <w:ind w:left="1061" w:hanging="567"/>
              <w:jc w:val="both"/>
              <w:rPr>
                <w:rFonts w:ascii="Tahoma" w:hAnsi="Tahoma" w:cs="Tahoma"/>
              </w:rPr>
            </w:pPr>
            <w:r w:rsidRPr="00556D53">
              <w:rPr>
                <w:rFonts w:ascii="Tahoma" w:hAnsi="Tahoma" w:cs="Tahoma"/>
              </w:rPr>
              <w:t xml:space="preserve">Settlement by </w:t>
            </w:r>
            <w:r w:rsidR="00DA119D" w:rsidRPr="00556D53">
              <w:rPr>
                <w:rFonts w:ascii="Tahoma" w:hAnsi="Tahoma" w:cs="Tahoma"/>
              </w:rPr>
              <w:t>an</w:t>
            </w:r>
            <w:r w:rsidRPr="00556D53">
              <w:rPr>
                <w:rFonts w:ascii="Tahoma" w:hAnsi="Tahoma" w:cs="Tahoma"/>
              </w:rPr>
              <w:t xml:space="preserve"> </w:t>
            </w:r>
            <w:r>
              <w:rPr>
                <w:rFonts w:ascii="Tahoma" w:hAnsi="Tahoma" w:cs="Tahoma"/>
              </w:rPr>
              <w:t>employer/</w:t>
            </w:r>
            <w:r w:rsidRPr="00556D53">
              <w:rPr>
                <w:rFonts w:ascii="Tahoma" w:hAnsi="Tahoma" w:cs="Tahoma"/>
              </w:rPr>
              <w:t>sponsor</w:t>
            </w:r>
          </w:p>
          <w:p w14:paraId="5632F16A" w14:textId="3A0E7150" w:rsidR="001B6FA1" w:rsidRDefault="001B6FA1" w:rsidP="001B6FA1">
            <w:pPr>
              <w:numPr>
                <w:ilvl w:val="0"/>
                <w:numId w:val="10"/>
              </w:numPr>
              <w:ind w:left="1061" w:hanging="567"/>
              <w:jc w:val="both"/>
              <w:rPr>
                <w:rFonts w:ascii="Tahoma" w:hAnsi="Tahoma" w:cs="Tahoma"/>
              </w:rPr>
            </w:pPr>
            <w:r w:rsidRPr="00556D53">
              <w:rPr>
                <w:rFonts w:ascii="Tahoma" w:hAnsi="Tahoma" w:cs="Tahoma"/>
              </w:rPr>
              <w:t>Settlement by loan from the Student Loan Company</w:t>
            </w:r>
          </w:p>
          <w:p w14:paraId="571DE373" w14:textId="44CD3077" w:rsidR="000054C5" w:rsidRPr="00556D53" w:rsidRDefault="000054C5" w:rsidP="001B6FA1">
            <w:pPr>
              <w:numPr>
                <w:ilvl w:val="0"/>
                <w:numId w:val="10"/>
              </w:numPr>
              <w:ind w:left="1061" w:hanging="567"/>
              <w:jc w:val="both"/>
              <w:rPr>
                <w:rFonts w:ascii="Tahoma" w:hAnsi="Tahoma" w:cs="Tahoma"/>
              </w:rPr>
            </w:pPr>
            <w:r>
              <w:rPr>
                <w:rFonts w:ascii="Tahoma" w:hAnsi="Tahoma" w:cs="Tahoma"/>
              </w:rPr>
              <w:t>Settlement from bursary support</w:t>
            </w:r>
          </w:p>
          <w:p w14:paraId="15977060" w14:textId="77777777" w:rsidR="001B6FA1" w:rsidRDefault="001B6FA1" w:rsidP="001B6FA1">
            <w:pPr>
              <w:tabs>
                <w:tab w:val="left" w:pos="1440"/>
              </w:tabs>
              <w:jc w:val="both"/>
              <w:rPr>
                <w:rFonts w:ascii="Tahoma" w:hAnsi="Tahoma" w:cs="Tahoma"/>
              </w:rPr>
            </w:pPr>
          </w:p>
          <w:p w14:paraId="1D1A9B8F" w14:textId="244D7F5C" w:rsidR="00E456F4" w:rsidRPr="00FE6659" w:rsidRDefault="00E456F4" w:rsidP="001B6FA1">
            <w:pPr>
              <w:jc w:val="both"/>
              <w:rPr>
                <w:rFonts w:ascii="Arial" w:hAnsi="Arial" w:cs="Arial"/>
              </w:rPr>
            </w:pPr>
            <w:r w:rsidRPr="00FE6659">
              <w:rPr>
                <w:rFonts w:ascii="Arial" w:hAnsi="Arial" w:cs="Arial"/>
              </w:rPr>
              <w:t>All tuition fees become due in full at enrolment, but DNCG recognises that some students may be unable to pay their fees in full at enrolment.</w:t>
            </w:r>
          </w:p>
          <w:p w14:paraId="20CE7B4B" w14:textId="77777777" w:rsidR="00E456F4" w:rsidRPr="00FE6659" w:rsidRDefault="00E456F4" w:rsidP="001B6FA1">
            <w:pPr>
              <w:jc w:val="both"/>
              <w:rPr>
                <w:rFonts w:ascii="Arial" w:hAnsi="Arial" w:cs="Arial"/>
              </w:rPr>
            </w:pPr>
          </w:p>
          <w:p w14:paraId="2C5CA485" w14:textId="77777777" w:rsidR="00E456F4" w:rsidRPr="00FE6659" w:rsidRDefault="00E456F4" w:rsidP="001B6FA1">
            <w:pPr>
              <w:jc w:val="both"/>
              <w:rPr>
                <w:rFonts w:ascii="Arial" w:hAnsi="Arial" w:cs="Arial"/>
              </w:rPr>
            </w:pPr>
            <w:r w:rsidRPr="00FE6659">
              <w:rPr>
                <w:rFonts w:ascii="Arial" w:hAnsi="Arial" w:cs="Arial"/>
              </w:rPr>
              <w:t>DNCG offers a payment plans of:</w:t>
            </w:r>
            <w:r w:rsidRPr="00FE6659">
              <w:rPr>
                <w:rFonts w:ascii="Arial" w:hAnsi="Arial" w:cs="Arial"/>
              </w:rPr>
              <w:tab/>
            </w:r>
          </w:p>
          <w:p w14:paraId="79204599" w14:textId="77777777" w:rsidR="00E456F4" w:rsidRPr="00FE6659" w:rsidRDefault="00E456F4" w:rsidP="001B6FA1">
            <w:pPr>
              <w:pStyle w:val="ListParagraph"/>
              <w:numPr>
                <w:ilvl w:val="0"/>
                <w:numId w:val="6"/>
              </w:numPr>
              <w:tabs>
                <w:tab w:val="left" w:pos="1104"/>
              </w:tabs>
              <w:ind w:left="0" w:firstLine="494"/>
              <w:jc w:val="both"/>
              <w:rPr>
                <w:rFonts w:ascii="Arial" w:hAnsi="Arial" w:cs="Arial"/>
              </w:rPr>
            </w:pPr>
            <w:r w:rsidRPr="00FE6659">
              <w:rPr>
                <w:rFonts w:ascii="Arial" w:hAnsi="Arial" w:cs="Arial"/>
              </w:rPr>
              <w:t xml:space="preserve">3 monthly instalments for any course with a fee between £300 and £1,200; </w:t>
            </w:r>
          </w:p>
          <w:p w14:paraId="661B0321" w14:textId="48E2EBCE" w:rsidR="00E456F4" w:rsidRPr="00FE6659" w:rsidRDefault="001B6FA1" w:rsidP="001B6FA1">
            <w:pPr>
              <w:pStyle w:val="ListParagraph"/>
              <w:numPr>
                <w:ilvl w:val="0"/>
                <w:numId w:val="6"/>
              </w:numPr>
              <w:tabs>
                <w:tab w:val="left" w:pos="1104"/>
              </w:tabs>
              <w:ind w:hanging="226"/>
              <w:jc w:val="both"/>
              <w:rPr>
                <w:rFonts w:ascii="Arial" w:hAnsi="Arial" w:cs="Arial"/>
              </w:rPr>
            </w:pPr>
            <w:r>
              <w:rPr>
                <w:rFonts w:ascii="Arial" w:hAnsi="Arial" w:cs="Arial"/>
              </w:rPr>
              <w:tab/>
            </w:r>
            <w:r w:rsidR="00E456F4" w:rsidRPr="00FE6659">
              <w:rPr>
                <w:rFonts w:ascii="Arial" w:hAnsi="Arial" w:cs="Arial"/>
              </w:rPr>
              <w:t xml:space="preserve">6 monthly instalments for any course with a fee between £1,201 and £2,400; </w:t>
            </w:r>
          </w:p>
          <w:p w14:paraId="3553EF44" w14:textId="205D0BDC" w:rsidR="00E456F4" w:rsidRDefault="001B6FA1" w:rsidP="001B6FA1">
            <w:pPr>
              <w:pStyle w:val="ListParagraph"/>
              <w:numPr>
                <w:ilvl w:val="0"/>
                <w:numId w:val="6"/>
              </w:numPr>
              <w:tabs>
                <w:tab w:val="left" w:pos="1104"/>
              </w:tabs>
              <w:ind w:hanging="226"/>
              <w:jc w:val="both"/>
              <w:rPr>
                <w:rFonts w:ascii="Arial" w:hAnsi="Arial" w:cs="Arial"/>
              </w:rPr>
            </w:pPr>
            <w:r>
              <w:rPr>
                <w:rFonts w:ascii="Arial" w:hAnsi="Arial" w:cs="Arial"/>
              </w:rPr>
              <w:tab/>
            </w:r>
            <w:r w:rsidR="00E456F4" w:rsidRPr="00FE6659">
              <w:rPr>
                <w:rFonts w:ascii="Arial" w:hAnsi="Arial" w:cs="Arial"/>
              </w:rPr>
              <w:t>and 8 monthly instalments for any course with a fee over £2,400.</w:t>
            </w:r>
          </w:p>
          <w:p w14:paraId="2C9CADB2" w14:textId="48219301" w:rsidR="003C43A3" w:rsidRDefault="003C43A3" w:rsidP="003C43A3">
            <w:pPr>
              <w:tabs>
                <w:tab w:val="left" w:pos="1104"/>
              </w:tabs>
              <w:jc w:val="both"/>
              <w:rPr>
                <w:rFonts w:ascii="Arial" w:hAnsi="Arial" w:cs="Arial"/>
              </w:rPr>
            </w:pPr>
          </w:p>
          <w:p w14:paraId="4B115A64" w14:textId="0EC921C5" w:rsidR="003C43A3" w:rsidRPr="003C43A3" w:rsidRDefault="00C13691" w:rsidP="003C43A3">
            <w:pPr>
              <w:tabs>
                <w:tab w:val="left" w:pos="1104"/>
              </w:tabs>
              <w:jc w:val="both"/>
              <w:rPr>
                <w:rFonts w:ascii="Arial" w:hAnsi="Arial" w:cs="Arial"/>
              </w:rPr>
            </w:pPr>
            <w:r>
              <w:rPr>
                <w:rFonts w:ascii="Arial" w:hAnsi="Arial" w:cs="Arial"/>
              </w:rPr>
              <w:t>Any instalment plan agreed will not extend beyond the course end date.</w:t>
            </w:r>
            <w:r w:rsidR="000054C5">
              <w:rPr>
                <w:rFonts w:ascii="Arial" w:hAnsi="Arial" w:cs="Arial"/>
              </w:rPr>
              <w:t xml:space="preserve"> The first instalment must be paid within 30 days of enrolment.</w:t>
            </w:r>
          </w:p>
          <w:p w14:paraId="700EDB37" w14:textId="524577D8" w:rsidR="00E456F4" w:rsidRPr="00FE6659" w:rsidRDefault="000054C5" w:rsidP="00FE6659">
            <w:pPr>
              <w:jc w:val="both"/>
              <w:rPr>
                <w:rFonts w:ascii="Arial" w:hAnsi="Arial" w:cs="Arial"/>
              </w:rPr>
            </w:pPr>
            <w:r>
              <w:rPr>
                <w:rFonts w:ascii="Arial" w:hAnsi="Arial" w:cs="Arial"/>
              </w:rPr>
              <w:t xml:space="preserve"> </w:t>
            </w:r>
          </w:p>
          <w:p w14:paraId="04FCD32E" w14:textId="76B8CDD0" w:rsidR="00E456F4" w:rsidRDefault="00E456F4" w:rsidP="00FE6659">
            <w:pPr>
              <w:jc w:val="both"/>
              <w:rPr>
                <w:rFonts w:ascii="Arial" w:hAnsi="Arial" w:cs="Arial"/>
              </w:rPr>
            </w:pPr>
            <w:r w:rsidRPr="00FE6659">
              <w:rPr>
                <w:rFonts w:ascii="Arial" w:hAnsi="Arial" w:cs="Arial"/>
              </w:rPr>
              <w:t>DNCG is not able to offer a payment plan for short courses of less than 8 weeks duration; therefore, all fees are payable on enrolment.</w:t>
            </w:r>
          </w:p>
          <w:p w14:paraId="723E4B79" w14:textId="77777777" w:rsidR="00E456F4" w:rsidRPr="00FE6659" w:rsidRDefault="00E456F4" w:rsidP="00FE6659">
            <w:pPr>
              <w:jc w:val="both"/>
              <w:rPr>
                <w:rFonts w:ascii="Arial" w:hAnsi="Arial" w:cs="Arial"/>
              </w:rPr>
            </w:pPr>
          </w:p>
          <w:p w14:paraId="243B1889" w14:textId="77777777" w:rsidR="00E456F4" w:rsidRPr="00FE6659" w:rsidRDefault="00E456F4" w:rsidP="00FE6659">
            <w:pPr>
              <w:jc w:val="both"/>
              <w:rPr>
                <w:rFonts w:ascii="Arial" w:hAnsi="Arial" w:cs="Arial"/>
              </w:rPr>
            </w:pPr>
            <w:r w:rsidRPr="00FE6659">
              <w:rPr>
                <w:rFonts w:ascii="Arial" w:hAnsi="Arial" w:cs="Arial"/>
              </w:rPr>
              <w:t>In addition to the above plan’s payment for Masters courses can be made in line with the Maintenance Loan payment schedule: i.e. termly in equal thirds.</w:t>
            </w:r>
          </w:p>
          <w:p w14:paraId="0A29012F" w14:textId="77777777" w:rsidR="00E456F4" w:rsidRPr="00FE6659" w:rsidRDefault="00E456F4" w:rsidP="00FE6659">
            <w:pPr>
              <w:jc w:val="both"/>
              <w:rPr>
                <w:rFonts w:ascii="Arial" w:hAnsi="Arial" w:cs="Arial"/>
              </w:rPr>
            </w:pPr>
          </w:p>
          <w:p w14:paraId="621F3181" w14:textId="77777777" w:rsidR="00E456F4" w:rsidRPr="00FE6659" w:rsidRDefault="00E456F4" w:rsidP="00FE6659">
            <w:pPr>
              <w:jc w:val="both"/>
              <w:rPr>
                <w:rFonts w:ascii="Arial" w:hAnsi="Arial" w:cs="Arial"/>
                <w:b/>
                <w:u w:val="single"/>
              </w:rPr>
            </w:pPr>
            <w:r w:rsidRPr="00FE6659">
              <w:rPr>
                <w:rFonts w:ascii="Arial" w:hAnsi="Arial" w:cs="Arial"/>
                <w:b/>
                <w:u w:val="single"/>
              </w:rPr>
              <w:t>Apprenticeships</w:t>
            </w:r>
          </w:p>
          <w:p w14:paraId="61BAFC00" w14:textId="77777777" w:rsidR="00E456F4" w:rsidRPr="00FE6659" w:rsidRDefault="00E456F4" w:rsidP="00FE6659">
            <w:pPr>
              <w:jc w:val="both"/>
              <w:rPr>
                <w:rFonts w:ascii="Arial" w:hAnsi="Arial" w:cs="Arial"/>
              </w:rPr>
            </w:pPr>
          </w:p>
          <w:p w14:paraId="5D62798B" w14:textId="77777777" w:rsidR="00E456F4" w:rsidRPr="00FE6659" w:rsidRDefault="00E456F4" w:rsidP="00FE6659">
            <w:pPr>
              <w:jc w:val="both"/>
              <w:rPr>
                <w:rFonts w:ascii="Arial" w:hAnsi="Arial" w:cs="Arial"/>
              </w:rPr>
            </w:pPr>
            <w:r w:rsidRPr="00FE6659">
              <w:rPr>
                <w:rFonts w:ascii="Arial" w:hAnsi="Arial" w:cs="Arial"/>
              </w:rPr>
              <w:t>The employer contribution may be paid by instalments if in excess of £300.</w:t>
            </w:r>
          </w:p>
          <w:p w14:paraId="25DDB8C4" w14:textId="77777777" w:rsidR="00E456F4" w:rsidRPr="00FE6659" w:rsidRDefault="00E456F4" w:rsidP="00FE6659">
            <w:pPr>
              <w:jc w:val="both"/>
              <w:rPr>
                <w:rFonts w:ascii="Arial" w:hAnsi="Arial" w:cs="Arial"/>
              </w:rPr>
            </w:pPr>
            <w:r w:rsidRPr="00FE6659">
              <w:rPr>
                <w:rFonts w:ascii="Arial" w:hAnsi="Arial" w:cs="Arial"/>
              </w:rPr>
              <w:t>The first payment equates to 3/12 of the invoiced amount followed by nine further instalments of 1/12 each.</w:t>
            </w:r>
          </w:p>
          <w:p w14:paraId="460606ED" w14:textId="77777777" w:rsidR="00E456F4" w:rsidRPr="00FE6659" w:rsidRDefault="00E456F4" w:rsidP="00FE6659">
            <w:pPr>
              <w:jc w:val="both"/>
              <w:rPr>
                <w:rFonts w:ascii="Arial" w:hAnsi="Arial" w:cs="Arial"/>
              </w:rPr>
            </w:pPr>
          </w:p>
          <w:p w14:paraId="70449620" w14:textId="77777777" w:rsidR="00E456F4" w:rsidRPr="00FE6659" w:rsidRDefault="00E456F4" w:rsidP="00FE6659">
            <w:pPr>
              <w:jc w:val="both"/>
              <w:rPr>
                <w:rFonts w:ascii="Arial" w:hAnsi="Arial" w:cs="Arial"/>
              </w:rPr>
            </w:pPr>
            <w:r w:rsidRPr="00FE6659">
              <w:rPr>
                <w:rFonts w:ascii="Arial" w:hAnsi="Arial" w:cs="Arial"/>
              </w:rPr>
              <w:t>The payment period can be extended to over 12 months for high value apprenticeships with prior agreement from the Principal or Director of Finance, but in all instances, payment must be made in full prior to the scheduled end date of the apprenticeship</w:t>
            </w:r>
          </w:p>
          <w:p w14:paraId="12403646" w14:textId="77777777" w:rsidR="00E456F4" w:rsidRPr="00FE6659" w:rsidRDefault="00E456F4" w:rsidP="00FE6659">
            <w:pPr>
              <w:jc w:val="both"/>
              <w:rPr>
                <w:rFonts w:ascii="Arial" w:hAnsi="Arial" w:cs="Arial"/>
              </w:rPr>
            </w:pPr>
          </w:p>
          <w:p w14:paraId="446EDD97" w14:textId="77777777" w:rsidR="00E456F4" w:rsidRPr="00FE6659" w:rsidRDefault="00E456F4" w:rsidP="00FE6659">
            <w:pPr>
              <w:jc w:val="both"/>
              <w:rPr>
                <w:rFonts w:ascii="Arial" w:hAnsi="Arial" w:cs="Arial"/>
              </w:rPr>
            </w:pPr>
            <w:r w:rsidRPr="00FE6659">
              <w:rPr>
                <w:rFonts w:ascii="Arial" w:eastAsia="Tahoma" w:hAnsi="Arial" w:cs="Arial"/>
              </w:rPr>
              <w:t>For all instalment plans the first payment will be taken at enrolment and at monthly intervals thereafter.  All fees must be paid prior to the course end date, this will sometimes mean that the number of instalments may be reduced. Any default on the plan will result in any amounts outstanding becoming due immediately. Payment is by direct debit on/after the 1</w:t>
            </w:r>
            <w:r w:rsidRPr="00FE6659">
              <w:rPr>
                <w:rFonts w:ascii="Arial" w:eastAsia="Tahoma" w:hAnsi="Arial" w:cs="Arial"/>
                <w:vertAlign w:val="superscript"/>
              </w:rPr>
              <w:t>st</w:t>
            </w:r>
            <w:r w:rsidRPr="00FE6659">
              <w:rPr>
                <w:rFonts w:ascii="Arial" w:eastAsia="Tahoma" w:hAnsi="Arial" w:cs="Arial"/>
              </w:rPr>
              <w:t xml:space="preserve"> of the month, unless agreed by exception.</w:t>
            </w:r>
          </w:p>
          <w:p w14:paraId="6C37D29A" w14:textId="77777777" w:rsidR="00E456F4" w:rsidRPr="00FE6659" w:rsidRDefault="00E456F4" w:rsidP="00FE6659">
            <w:pPr>
              <w:jc w:val="both"/>
              <w:rPr>
                <w:rFonts w:ascii="Arial" w:hAnsi="Arial" w:cs="Arial"/>
              </w:rPr>
            </w:pPr>
          </w:p>
          <w:p w14:paraId="34975B9A" w14:textId="6F10D215" w:rsidR="00E456F4" w:rsidRPr="00FE6659" w:rsidRDefault="00E456F4" w:rsidP="00FE6659">
            <w:pPr>
              <w:jc w:val="both"/>
              <w:rPr>
                <w:rFonts w:ascii="Arial" w:hAnsi="Arial" w:cs="Arial"/>
                <w:b/>
                <w:u w:val="single"/>
              </w:rPr>
            </w:pPr>
            <w:r w:rsidRPr="00FE6659">
              <w:rPr>
                <w:rFonts w:ascii="Arial" w:hAnsi="Arial" w:cs="Arial"/>
                <w:b/>
                <w:u w:val="single"/>
              </w:rPr>
              <w:t>Employers</w:t>
            </w:r>
            <w:r w:rsidR="001B6FA1">
              <w:rPr>
                <w:rFonts w:ascii="Arial" w:hAnsi="Arial" w:cs="Arial"/>
                <w:b/>
                <w:u w:val="single"/>
              </w:rPr>
              <w:t>/Sponsor</w:t>
            </w:r>
            <w:r w:rsidRPr="00FE6659">
              <w:rPr>
                <w:rFonts w:ascii="Arial" w:hAnsi="Arial" w:cs="Arial"/>
                <w:b/>
                <w:u w:val="single"/>
              </w:rPr>
              <w:t xml:space="preserve"> paying fees</w:t>
            </w:r>
          </w:p>
          <w:p w14:paraId="2DA1EDF3" w14:textId="77777777" w:rsidR="00E456F4" w:rsidRPr="00FE6659" w:rsidRDefault="00E456F4" w:rsidP="00FE6659">
            <w:pPr>
              <w:jc w:val="both"/>
              <w:rPr>
                <w:rFonts w:ascii="Arial" w:hAnsi="Arial" w:cs="Arial"/>
              </w:rPr>
            </w:pPr>
          </w:p>
          <w:p w14:paraId="10188645" w14:textId="77777777" w:rsidR="00FE6659" w:rsidRDefault="00E456F4" w:rsidP="00FE6659">
            <w:pPr>
              <w:spacing w:after="160" w:line="259" w:lineRule="auto"/>
              <w:jc w:val="both"/>
              <w:rPr>
                <w:rFonts w:ascii="Arial" w:hAnsi="Arial" w:cs="Arial"/>
              </w:rPr>
            </w:pPr>
            <w:r w:rsidRPr="00FE6659">
              <w:rPr>
                <w:rFonts w:ascii="Arial" w:hAnsi="Arial" w:cs="Arial"/>
              </w:rPr>
              <w:t>Students whose employers have agreed to pay their fees will be required to produce a letter/purchase order from their employer at the time of enrolment confirming that they will cover the full cost of the course.</w:t>
            </w:r>
            <w:r w:rsidR="00FE6659" w:rsidRPr="00FE6659">
              <w:rPr>
                <w:rFonts w:ascii="Arial" w:hAnsi="Arial" w:cs="Arial"/>
              </w:rPr>
              <w:t xml:space="preserve"> </w:t>
            </w:r>
          </w:p>
          <w:p w14:paraId="44BC84E0" w14:textId="5F579613" w:rsidR="00FE6659" w:rsidRPr="00FE6659" w:rsidRDefault="00FE6659" w:rsidP="00FE6659">
            <w:pPr>
              <w:spacing w:after="160" w:line="259" w:lineRule="auto"/>
              <w:jc w:val="both"/>
              <w:rPr>
                <w:rFonts w:ascii="Arial" w:hAnsi="Arial" w:cs="Arial"/>
                <w:b/>
              </w:rPr>
            </w:pPr>
            <w:r w:rsidRPr="00FE6659">
              <w:rPr>
                <w:rFonts w:ascii="Arial" w:hAnsi="Arial" w:cs="Arial"/>
              </w:rPr>
              <w:t xml:space="preserve">An invoice will be issued to the sponsor shortly after the enrolment date.  Payment should be paid in full within 30 days from the date of the invoice. </w:t>
            </w:r>
          </w:p>
          <w:p w14:paraId="24B9FD08" w14:textId="08885814" w:rsidR="005A424E" w:rsidRPr="005A424E" w:rsidRDefault="00734A74" w:rsidP="00FE6659">
            <w:pPr>
              <w:jc w:val="both"/>
              <w:rPr>
                <w:rFonts w:ascii="Arial" w:hAnsi="Arial" w:cs="Arial"/>
                <w:b/>
                <w:u w:val="single"/>
              </w:rPr>
            </w:pPr>
            <w:r>
              <w:rPr>
                <w:rFonts w:ascii="Arial" w:hAnsi="Arial" w:cs="Arial"/>
              </w:rPr>
              <w:t>I</w:t>
            </w:r>
            <w:r w:rsidR="005A424E" w:rsidRPr="005A424E">
              <w:rPr>
                <w:rFonts w:ascii="Arial" w:hAnsi="Arial" w:cs="Arial"/>
              </w:rPr>
              <w:t xml:space="preserve">n all cases the default position for a student debt is </w:t>
            </w:r>
            <w:r w:rsidR="005A424E">
              <w:rPr>
                <w:rFonts w:ascii="Arial" w:hAnsi="Arial" w:cs="Arial"/>
              </w:rPr>
              <w:t>i</w:t>
            </w:r>
            <w:r w:rsidR="005A424E" w:rsidRPr="005A424E">
              <w:rPr>
                <w:rFonts w:ascii="Arial" w:hAnsi="Arial" w:cs="Arial"/>
              </w:rPr>
              <w:t>f by the end of November the College has not received either a sponsor letter or confirmation from the SLC of funding then the student will be invoice</w:t>
            </w:r>
            <w:r w:rsidR="005A424E">
              <w:rPr>
                <w:rFonts w:ascii="Arial" w:hAnsi="Arial" w:cs="Arial"/>
              </w:rPr>
              <w:t xml:space="preserve">d. </w:t>
            </w:r>
            <w:r w:rsidR="005A424E" w:rsidRPr="005A424E">
              <w:rPr>
                <w:rFonts w:ascii="Arial" w:hAnsi="Arial" w:cs="Arial"/>
              </w:rPr>
              <w:t>If a student can clearly demonstrate that any delay is due to the SLC then this deadline can be extended by finance.  Other than this, there will be no exceptions. Please note that for the SLC on-going evidence of communication will not be sufficient in itself</w:t>
            </w:r>
            <w:r w:rsidR="005A424E">
              <w:rPr>
                <w:rFonts w:ascii="Arial" w:hAnsi="Arial" w:cs="Arial"/>
              </w:rPr>
              <w:t xml:space="preserve">, </w:t>
            </w:r>
            <w:r w:rsidR="005A424E" w:rsidRPr="005A424E">
              <w:rPr>
                <w:rFonts w:ascii="Arial" w:hAnsi="Arial" w:cs="Arial"/>
              </w:rPr>
              <w:t>it must be either an agreed offer of a loan or clear evidence of SLC delay.</w:t>
            </w:r>
          </w:p>
          <w:p w14:paraId="6A83D898" w14:textId="77777777" w:rsidR="005A424E" w:rsidRDefault="005A424E" w:rsidP="00FE6659">
            <w:pPr>
              <w:jc w:val="both"/>
              <w:rPr>
                <w:rFonts w:ascii="Arial" w:hAnsi="Arial" w:cs="Arial"/>
                <w:b/>
                <w:u w:val="single"/>
              </w:rPr>
            </w:pPr>
          </w:p>
          <w:p w14:paraId="00792B62" w14:textId="5F193F6B" w:rsidR="00E456F4" w:rsidRPr="00FE6659" w:rsidRDefault="00E456F4" w:rsidP="00FE6659">
            <w:pPr>
              <w:jc w:val="both"/>
              <w:rPr>
                <w:rFonts w:ascii="Arial" w:hAnsi="Arial" w:cs="Arial"/>
                <w:b/>
                <w:u w:val="single"/>
              </w:rPr>
            </w:pPr>
            <w:r w:rsidRPr="00FE6659">
              <w:rPr>
                <w:rFonts w:ascii="Arial" w:hAnsi="Arial" w:cs="Arial"/>
                <w:b/>
                <w:u w:val="single"/>
              </w:rPr>
              <w:t>Other fees</w:t>
            </w:r>
          </w:p>
          <w:p w14:paraId="4381FAE2" w14:textId="77777777" w:rsidR="00E456F4" w:rsidRPr="00FE6659" w:rsidRDefault="00E456F4" w:rsidP="00FE6659">
            <w:pPr>
              <w:jc w:val="both"/>
              <w:rPr>
                <w:rFonts w:ascii="Arial" w:hAnsi="Arial" w:cs="Arial"/>
              </w:rPr>
            </w:pPr>
            <w:r w:rsidRPr="00FE6659">
              <w:rPr>
                <w:rFonts w:ascii="Arial" w:hAnsi="Arial" w:cs="Arial"/>
              </w:rPr>
              <w:t>In the case of international fees, 50% is payable in advance of the official letter being sent confirming that a place has been offered, with the balance being payable upon enrolment.</w:t>
            </w:r>
          </w:p>
          <w:p w14:paraId="6C82975A" w14:textId="77777777" w:rsidR="00E456F4" w:rsidRPr="00FE6659" w:rsidRDefault="00E456F4" w:rsidP="00FE6659">
            <w:pPr>
              <w:jc w:val="both"/>
              <w:rPr>
                <w:rFonts w:ascii="Arial" w:hAnsi="Arial" w:cs="Arial"/>
              </w:rPr>
            </w:pPr>
          </w:p>
          <w:p w14:paraId="68F54889" w14:textId="77777777" w:rsidR="00E456F4" w:rsidRPr="00FE6659" w:rsidRDefault="00E456F4" w:rsidP="00FE6659">
            <w:pPr>
              <w:jc w:val="both"/>
              <w:rPr>
                <w:rFonts w:ascii="Arial" w:hAnsi="Arial" w:cs="Arial"/>
              </w:rPr>
            </w:pPr>
            <w:r w:rsidRPr="00FE6659">
              <w:rPr>
                <w:rFonts w:ascii="Arial" w:hAnsi="Arial" w:cs="Arial"/>
              </w:rPr>
              <w:t>In the case of most two-year courses the fees are payable over two years upon enrolment in each year.</w:t>
            </w:r>
          </w:p>
          <w:p w14:paraId="24EC9EE4" w14:textId="77777777" w:rsidR="00E456F4" w:rsidRPr="00FE6659" w:rsidRDefault="00E456F4" w:rsidP="00FE6659">
            <w:pPr>
              <w:jc w:val="both"/>
              <w:rPr>
                <w:rFonts w:ascii="Arial" w:hAnsi="Arial" w:cs="Arial"/>
              </w:rPr>
            </w:pPr>
          </w:p>
          <w:p w14:paraId="2498529E" w14:textId="77777777" w:rsidR="00E456F4" w:rsidRPr="00FE6659" w:rsidRDefault="00E456F4" w:rsidP="00FE6659">
            <w:pPr>
              <w:jc w:val="both"/>
              <w:rPr>
                <w:rFonts w:ascii="Arial" w:hAnsi="Arial" w:cs="Arial"/>
                <w:b/>
                <w:u w:val="single"/>
              </w:rPr>
            </w:pPr>
            <w:r w:rsidRPr="00FE6659">
              <w:rPr>
                <w:rFonts w:ascii="Arial" w:hAnsi="Arial" w:cs="Arial"/>
                <w:b/>
                <w:u w:val="single"/>
              </w:rPr>
              <w:t>Non-payment of fees</w:t>
            </w:r>
          </w:p>
          <w:p w14:paraId="49F1B9D0" w14:textId="2B64CA83" w:rsidR="00734A74" w:rsidRDefault="00734A74" w:rsidP="00FE6659">
            <w:pPr>
              <w:jc w:val="both"/>
              <w:rPr>
                <w:rFonts w:ascii="Arial" w:hAnsi="Arial" w:cs="Arial"/>
              </w:rPr>
            </w:pPr>
          </w:p>
          <w:p w14:paraId="7534E763" w14:textId="1DF3FAFB" w:rsidR="00734A74" w:rsidRPr="000054C5" w:rsidRDefault="00734A74" w:rsidP="00734A74">
            <w:pPr>
              <w:tabs>
                <w:tab w:val="left" w:pos="720"/>
                <w:tab w:val="left" w:pos="1440"/>
              </w:tabs>
              <w:jc w:val="both"/>
              <w:rPr>
                <w:rFonts w:ascii="Arial" w:hAnsi="Arial" w:cs="Arial"/>
              </w:rPr>
            </w:pPr>
            <w:r w:rsidRPr="000054C5">
              <w:rPr>
                <w:rFonts w:ascii="Arial" w:hAnsi="Arial" w:cs="Arial"/>
              </w:rPr>
              <w:t>If the payment terms are not kept to then the following process will be applied</w:t>
            </w:r>
            <w:r w:rsidR="00210D79" w:rsidRPr="000054C5">
              <w:rPr>
                <w:rFonts w:ascii="Arial" w:hAnsi="Arial" w:cs="Arial"/>
              </w:rPr>
              <w:t xml:space="preserve"> for student fees</w:t>
            </w:r>
            <w:r w:rsidRPr="000054C5">
              <w:rPr>
                <w:rFonts w:ascii="Arial" w:hAnsi="Arial" w:cs="Arial"/>
              </w:rPr>
              <w:t>:</w:t>
            </w:r>
          </w:p>
          <w:p w14:paraId="099DAD77" w14:textId="6AF08F08" w:rsidR="00734A74" w:rsidRPr="000054C5" w:rsidRDefault="00734A74" w:rsidP="00734A74">
            <w:pPr>
              <w:numPr>
                <w:ilvl w:val="0"/>
                <w:numId w:val="12"/>
              </w:numPr>
              <w:tabs>
                <w:tab w:val="left" w:pos="720"/>
                <w:tab w:val="left" w:pos="1440"/>
              </w:tabs>
              <w:ind w:left="1440"/>
              <w:jc w:val="both"/>
              <w:rPr>
                <w:rFonts w:ascii="Arial" w:hAnsi="Arial" w:cs="Arial"/>
              </w:rPr>
            </w:pPr>
            <w:r w:rsidRPr="000054C5">
              <w:rPr>
                <w:rFonts w:ascii="Arial" w:hAnsi="Arial" w:cs="Arial"/>
              </w:rPr>
              <w:t>Within 2 weeks of the default date Finance will email the student with a</w:t>
            </w:r>
            <w:r w:rsidR="000054C5" w:rsidRPr="000054C5">
              <w:rPr>
                <w:rFonts w:ascii="Arial" w:hAnsi="Arial" w:cs="Arial"/>
              </w:rPr>
              <w:t xml:space="preserve"> 1</w:t>
            </w:r>
            <w:r w:rsidR="000054C5" w:rsidRPr="000054C5">
              <w:rPr>
                <w:rFonts w:ascii="Arial" w:hAnsi="Arial" w:cs="Arial"/>
                <w:vertAlign w:val="superscript"/>
              </w:rPr>
              <w:t>st</w:t>
            </w:r>
            <w:r w:rsidR="000054C5" w:rsidRPr="000054C5">
              <w:rPr>
                <w:rFonts w:ascii="Arial" w:hAnsi="Arial" w:cs="Arial"/>
              </w:rPr>
              <w:t xml:space="preserve"> </w:t>
            </w:r>
            <w:r w:rsidRPr="000054C5">
              <w:rPr>
                <w:rFonts w:ascii="Arial" w:hAnsi="Arial" w:cs="Arial"/>
              </w:rPr>
              <w:t>reminder that the fee needs to be paid</w:t>
            </w:r>
          </w:p>
          <w:p w14:paraId="7228CF51" w14:textId="013DAC29" w:rsidR="000054C5" w:rsidRPr="000054C5" w:rsidRDefault="000054C5" w:rsidP="000054C5">
            <w:pPr>
              <w:numPr>
                <w:ilvl w:val="0"/>
                <w:numId w:val="12"/>
              </w:numPr>
              <w:tabs>
                <w:tab w:val="left" w:pos="720"/>
                <w:tab w:val="left" w:pos="1440"/>
              </w:tabs>
              <w:ind w:left="1440"/>
              <w:jc w:val="both"/>
              <w:rPr>
                <w:rFonts w:ascii="Arial" w:hAnsi="Arial" w:cs="Arial"/>
              </w:rPr>
            </w:pPr>
            <w:r w:rsidRPr="000054C5">
              <w:rPr>
                <w:rFonts w:ascii="Arial" w:hAnsi="Arial" w:cs="Arial"/>
              </w:rPr>
              <w:t>Within 6 weeks of the default date Finance will email the student with a 2</w:t>
            </w:r>
            <w:r w:rsidRPr="000054C5">
              <w:rPr>
                <w:rFonts w:ascii="Arial" w:hAnsi="Arial" w:cs="Arial"/>
                <w:vertAlign w:val="superscript"/>
              </w:rPr>
              <w:t>nd</w:t>
            </w:r>
            <w:r w:rsidRPr="000054C5">
              <w:rPr>
                <w:rFonts w:ascii="Arial" w:hAnsi="Arial" w:cs="Arial"/>
              </w:rPr>
              <w:t xml:space="preserve"> reminder that the fee needs to be paid</w:t>
            </w:r>
          </w:p>
          <w:p w14:paraId="12DE8D04" w14:textId="7900AE0D" w:rsidR="000054C5" w:rsidRPr="000054C5" w:rsidRDefault="000054C5" w:rsidP="000054C5">
            <w:pPr>
              <w:numPr>
                <w:ilvl w:val="0"/>
                <w:numId w:val="12"/>
              </w:numPr>
              <w:tabs>
                <w:tab w:val="left" w:pos="720"/>
                <w:tab w:val="left" w:pos="1440"/>
              </w:tabs>
              <w:ind w:left="1440"/>
              <w:jc w:val="both"/>
              <w:rPr>
                <w:rFonts w:ascii="Arial" w:hAnsi="Arial" w:cs="Arial"/>
              </w:rPr>
            </w:pPr>
            <w:r w:rsidRPr="000054C5">
              <w:rPr>
                <w:rFonts w:ascii="Arial" w:hAnsi="Arial" w:cs="Arial"/>
              </w:rPr>
              <w:t>Within 10 weeks of the default date Finance will email the student with a 3</w:t>
            </w:r>
            <w:r w:rsidRPr="000054C5">
              <w:rPr>
                <w:rFonts w:ascii="Arial" w:hAnsi="Arial" w:cs="Arial"/>
                <w:vertAlign w:val="superscript"/>
              </w:rPr>
              <w:t>rd</w:t>
            </w:r>
            <w:r w:rsidRPr="000054C5">
              <w:rPr>
                <w:rFonts w:ascii="Arial" w:hAnsi="Arial" w:cs="Arial"/>
              </w:rPr>
              <w:t xml:space="preserve"> and final reminder that the fee needs to be paid</w:t>
            </w:r>
          </w:p>
          <w:p w14:paraId="1C36341E" w14:textId="7D021F66" w:rsidR="00734A74" w:rsidRPr="000054C5" w:rsidRDefault="00734A74" w:rsidP="00734A74">
            <w:pPr>
              <w:numPr>
                <w:ilvl w:val="0"/>
                <w:numId w:val="12"/>
              </w:numPr>
              <w:tabs>
                <w:tab w:val="left" w:pos="720"/>
                <w:tab w:val="left" w:pos="1440"/>
              </w:tabs>
              <w:ind w:left="1440"/>
              <w:jc w:val="both"/>
              <w:rPr>
                <w:rFonts w:ascii="Arial" w:hAnsi="Arial" w:cs="Arial"/>
              </w:rPr>
            </w:pPr>
            <w:r w:rsidRPr="000054C5">
              <w:rPr>
                <w:rFonts w:ascii="Arial" w:hAnsi="Arial" w:cs="Arial"/>
              </w:rPr>
              <w:t xml:space="preserve">Within 12 weeks </w:t>
            </w:r>
            <w:r w:rsidR="000054C5" w:rsidRPr="000054C5">
              <w:rPr>
                <w:rFonts w:ascii="Arial" w:hAnsi="Arial" w:cs="Arial"/>
              </w:rPr>
              <w:t>the Finance department will inform Registry to commence withdrawal procedures</w:t>
            </w:r>
          </w:p>
          <w:p w14:paraId="7527AF8F" w14:textId="34B642A8" w:rsidR="00734A74" w:rsidRDefault="00734A74" w:rsidP="007C59EF">
            <w:pPr>
              <w:numPr>
                <w:ilvl w:val="0"/>
                <w:numId w:val="12"/>
              </w:numPr>
              <w:tabs>
                <w:tab w:val="left" w:pos="720"/>
                <w:tab w:val="left" w:pos="1440"/>
              </w:tabs>
              <w:ind w:left="1440"/>
              <w:jc w:val="both"/>
              <w:rPr>
                <w:rFonts w:ascii="Arial" w:hAnsi="Arial" w:cs="Arial"/>
              </w:rPr>
            </w:pPr>
            <w:r w:rsidRPr="000054C5">
              <w:rPr>
                <w:rFonts w:ascii="Arial" w:hAnsi="Arial" w:cs="Arial"/>
              </w:rPr>
              <w:t xml:space="preserve">At 16 weeks </w:t>
            </w:r>
            <w:r w:rsidR="000054C5" w:rsidRPr="000054C5">
              <w:rPr>
                <w:rFonts w:ascii="Arial" w:hAnsi="Arial" w:cs="Arial"/>
              </w:rPr>
              <w:t>debt recovery</w:t>
            </w:r>
            <w:r w:rsidR="000054C5">
              <w:rPr>
                <w:rFonts w:ascii="Arial" w:hAnsi="Arial" w:cs="Arial"/>
              </w:rPr>
              <w:t xml:space="preserve"> action will commence with the debt being passed to DNCG’s debt collection agency.</w:t>
            </w:r>
          </w:p>
          <w:p w14:paraId="4F27F39B" w14:textId="4793A851" w:rsidR="000054C5" w:rsidRPr="000054C5" w:rsidRDefault="000054C5" w:rsidP="000054C5">
            <w:pPr>
              <w:tabs>
                <w:tab w:val="left" w:pos="720"/>
                <w:tab w:val="left" w:pos="1440"/>
              </w:tabs>
              <w:jc w:val="both"/>
              <w:rPr>
                <w:rFonts w:ascii="Arial" w:hAnsi="Arial" w:cs="Arial"/>
              </w:rPr>
            </w:pPr>
          </w:p>
          <w:p w14:paraId="220AA95D" w14:textId="77777777" w:rsidR="000054C5" w:rsidRDefault="000054C5" w:rsidP="00210D79">
            <w:pPr>
              <w:jc w:val="both"/>
              <w:rPr>
                <w:rFonts w:ascii="Arial" w:hAnsi="Arial" w:cs="Arial"/>
              </w:rPr>
            </w:pPr>
            <w:r>
              <w:rPr>
                <w:rFonts w:ascii="Arial" w:hAnsi="Arial" w:cs="Arial"/>
              </w:rPr>
              <w:t xml:space="preserve">The default date will be 30 days from date of invoice. </w:t>
            </w:r>
          </w:p>
          <w:p w14:paraId="19B7B164" w14:textId="77777777" w:rsidR="000054C5" w:rsidRDefault="000054C5" w:rsidP="00210D79">
            <w:pPr>
              <w:jc w:val="both"/>
              <w:rPr>
                <w:rFonts w:ascii="Arial" w:hAnsi="Arial" w:cs="Arial"/>
              </w:rPr>
            </w:pPr>
          </w:p>
          <w:p w14:paraId="0E86FA7C" w14:textId="0E10130E" w:rsidR="00734A74" w:rsidRPr="00734A74" w:rsidRDefault="00734A74" w:rsidP="00210D79">
            <w:pPr>
              <w:jc w:val="both"/>
              <w:rPr>
                <w:rFonts w:ascii="Arial" w:hAnsi="Arial" w:cs="Arial"/>
              </w:rPr>
            </w:pPr>
            <w:r w:rsidRPr="00734A74">
              <w:rPr>
                <w:rFonts w:ascii="Arial" w:hAnsi="Arial" w:cs="Arial"/>
              </w:rPr>
              <w:t xml:space="preserve">Throughout all the above stages the student will be able to seek support, help and assistance from Finance, Financial Support, IAG, Student Welfare and similar areas to see what can be done to address the position or understand the reasons for non-payment.  This help could be in the form of a payment from Financial Support, agreeing a payment plan, suspending action or suspending study for a period as examples. </w:t>
            </w:r>
          </w:p>
          <w:p w14:paraId="6B44327F" w14:textId="77777777" w:rsidR="00734A74" w:rsidRPr="00734A74" w:rsidRDefault="00734A74" w:rsidP="00734A74">
            <w:pPr>
              <w:tabs>
                <w:tab w:val="left" w:pos="720"/>
                <w:tab w:val="left" w:pos="1440"/>
              </w:tabs>
              <w:ind w:left="720"/>
              <w:jc w:val="both"/>
              <w:rPr>
                <w:rFonts w:ascii="Arial" w:hAnsi="Arial" w:cs="Arial"/>
              </w:rPr>
            </w:pPr>
          </w:p>
          <w:p w14:paraId="32522EF8" w14:textId="5A588589" w:rsidR="00734A74" w:rsidRPr="00734A74" w:rsidRDefault="00734A74" w:rsidP="00210D79">
            <w:pPr>
              <w:jc w:val="both"/>
              <w:rPr>
                <w:rFonts w:ascii="Arial" w:hAnsi="Arial" w:cs="Arial"/>
              </w:rPr>
            </w:pPr>
            <w:r w:rsidRPr="00734A74">
              <w:rPr>
                <w:rFonts w:ascii="Arial" w:hAnsi="Arial" w:cs="Arial"/>
              </w:rPr>
              <w:t>At any time the above stages can be suspended and halted if an agreement is reached.  However it is imperative that the process is enforced and actioned if no such agreement is arrived at.</w:t>
            </w:r>
          </w:p>
          <w:p w14:paraId="54B9C12E" w14:textId="77777777" w:rsidR="00734A74" w:rsidRDefault="00734A74" w:rsidP="00FE6659">
            <w:pPr>
              <w:jc w:val="both"/>
              <w:rPr>
                <w:rFonts w:ascii="Arial" w:hAnsi="Arial" w:cs="Arial"/>
              </w:rPr>
            </w:pPr>
          </w:p>
          <w:p w14:paraId="02A63D50" w14:textId="23968467" w:rsidR="00E456F4" w:rsidRPr="00FE6659" w:rsidRDefault="00E456F4" w:rsidP="00FE6659">
            <w:pPr>
              <w:jc w:val="both"/>
              <w:rPr>
                <w:rFonts w:ascii="Arial" w:hAnsi="Arial" w:cs="Arial"/>
              </w:rPr>
            </w:pPr>
            <w:r w:rsidRPr="00FE6659">
              <w:rPr>
                <w:rFonts w:ascii="Arial" w:hAnsi="Arial" w:cs="Arial"/>
              </w:rPr>
              <w:t>In accordance with DNCG’s Financial Regulations, for any student who has not paid their fees in full at the end of the academic year:</w:t>
            </w:r>
          </w:p>
          <w:p w14:paraId="3E8AC53C" w14:textId="77777777" w:rsidR="00E456F4" w:rsidRPr="00FE6659" w:rsidRDefault="00E456F4" w:rsidP="00FE6659">
            <w:pPr>
              <w:pStyle w:val="ListParagraph"/>
              <w:numPr>
                <w:ilvl w:val="0"/>
                <w:numId w:val="7"/>
              </w:numPr>
              <w:jc w:val="both"/>
              <w:rPr>
                <w:rFonts w:ascii="Arial" w:hAnsi="Arial" w:cs="Arial"/>
              </w:rPr>
            </w:pPr>
            <w:r w:rsidRPr="00FE6659">
              <w:rPr>
                <w:rFonts w:ascii="Arial" w:hAnsi="Arial" w:cs="Arial"/>
              </w:rPr>
              <w:t>Assessed work may not be marked;</w:t>
            </w:r>
          </w:p>
          <w:p w14:paraId="6CBD57DA" w14:textId="77777777" w:rsidR="00E456F4" w:rsidRPr="00FE6659" w:rsidRDefault="00E456F4" w:rsidP="00FE6659">
            <w:pPr>
              <w:pStyle w:val="ListParagraph"/>
              <w:numPr>
                <w:ilvl w:val="0"/>
                <w:numId w:val="7"/>
              </w:numPr>
              <w:jc w:val="both"/>
              <w:rPr>
                <w:rFonts w:ascii="Arial" w:hAnsi="Arial" w:cs="Arial"/>
              </w:rPr>
            </w:pPr>
            <w:r w:rsidRPr="00FE6659">
              <w:rPr>
                <w:rFonts w:ascii="Arial" w:hAnsi="Arial" w:cs="Arial"/>
              </w:rPr>
              <w:t>Confirmed transcripts of marks and university certificates may be withheld;</w:t>
            </w:r>
          </w:p>
          <w:p w14:paraId="36E03ADC" w14:textId="77777777" w:rsidR="00E456F4" w:rsidRPr="00210D79" w:rsidRDefault="00E456F4" w:rsidP="00FE6659">
            <w:pPr>
              <w:pStyle w:val="ListParagraph"/>
              <w:numPr>
                <w:ilvl w:val="0"/>
                <w:numId w:val="7"/>
              </w:numPr>
              <w:jc w:val="both"/>
              <w:rPr>
                <w:rFonts w:ascii="Arial" w:hAnsi="Arial" w:cs="Arial"/>
              </w:rPr>
            </w:pPr>
            <w:r w:rsidRPr="00FE6659">
              <w:rPr>
                <w:rFonts w:ascii="Arial" w:hAnsi="Arial" w:cs="Arial"/>
              </w:rPr>
              <w:t>References for employment beyond confirmation of dates and courses attended may not be issued;</w:t>
            </w:r>
          </w:p>
          <w:p w14:paraId="529A0BDE" w14:textId="78866074" w:rsidR="00210D79" w:rsidRDefault="00E456F4" w:rsidP="00B462FD">
            <w:pPr>
              <w:pStyle w:val="ListParagraph"/>
              <w:numPr>
                <w:ilvl w:val="0"/>
                <w:numId w:val="7"/>
              </w:numPr>
              <w:jc w:val="both"/>
              <w:rPr>
                <w:rFonts w:ascii="Arial" w:hAnsi="Arial" w:cs="Arial"/>
              </w:rPr>
            </w:pPr>
            <w:r w:rsidRPr="00210D79">
              <w:rPr>
                <w:rFonts w:ascii="Arial" w:hAnsi="Arial" w:cs="Arial"/>
              </w:rPr>
              <w:lastRenderedPageBreak/>
              <w:t>The student will not be permitted to progress to the next year of study or enrol on another course at DNCG, unless with prior authorisation from the Principal</w:t>
            </w:r>
            <w:r w:rsidR="000054C5">
              <w:rPr>
                <w:rFonts w:ascii="Arial" w:hAnsi="Arial" w:cs="Arial"/>
              </w:rPr>
              <w:t>/Vice principal</w:t>
            </w:r>
            <w:r w:rsidRPr="00210D79">
              <w:rPr>
                <w:rFonts w:ascii="Arial" w:hAnsi="Arial" w:cs="Arial"/>
              </w:rPr>
              <w:t xml:space="preserve"> or Director of Finance; and</w:t>
            </w:r>
          </w:p>
          <w:p w14:paraId="5FFE7641" w14:textId="562F4185" w:rsidR="00E456F4" w:rsidRDefault="00210D79" w:rsidP="00B462FD">
            <w:pPr>
              <w:pStyle w:val="ListParagraph"/>
              <w:numPr>
                <w:ilvl w:val="0"/>
                <w:numId w:val="7"/>
              </w:numPr>
              <w:jc w:val="both"/>
              <w:rPr>
                <w:rFonts w:ascii="Arial" w:hAnsi="Arial" w:cs="Arial"/>
              </w:rPr>
            </w:pPr>
            <w:r w:rsidRPr="00210D79">
              <w:rPr>
                <w:rFonts w:ascii="Arial" w:hAnsi="Arial" w:cs="Arial"/>
              </w:rPr>
              <w:t xml:space="preserve">If the debt still remains outstanding, following the process identified above, the </w:t>
            </w:r>
            <w:r>
              <w:rPr>
                <w:rFonts w:ascii="Arial" w:hAnsi="Arial" w:cs="Arial"/>
              </w:rPr>
              <w:t>DNCG</w:t>
            </w:r>
            <w:r w:rsidRPr="00210D79">
              <w:rPr>
                <w:rFonts w:ascii="Arial" w:hAnsi="Arial" w:cs="Arial"/>
              </w:rPr>
              <w:t xml:space="preserve"> reserves the right to pass the matter to </w:t>
            </w:r>
            <w:r>
              <w:rPr>
                <w:rFonts w:ascii="Arial" w:hAnsi="Arial" w:cs="Arial"/>
              </w:rPr>
              <w:t>a</w:t>
            </w:r>
            <w:r w:rsidRPr="00210D79">
              <w:rPr>
                <w:rFonts w:ascii="Arial" w:hAnsi="Arial" w:cs="Arial"/>
              </w:rPr>
              <w:t xml:space="preserve"> debt collection agency. </w:t>
            </w:r>
          </w:p>
          <w:p w14:paraId="6DF15D10" w14:textId="12B3D4D9" w:rsidR="000054C5" w:rsidRDefault="000054C5" w:rsidP="000054C5">
            <w:pPr>
              <w:jc w:val="both"/>
              <w:rPr>
                <w:rFonts w:ascii="Arial" w:hAnsi="Arial" w:cs="Arial"/>
              </w:rPr>
            </w:pPr>
          </w:p>
          <w:p w14:paraId="17F933EB" w14:textId="5681757F" w:rsidR="000054C5" w:rsidRPr="000054C5" w:rsidRDefault="000054C5" w:rsidP="000054C5">
            <w:pPr>
              <w:jc w:val="both"/>
              <w:rPr>
                <w:rFonts w:ascii="Arial" w:hAnsi="Arial" w:cs="Arial"/>
              </w:rPr>
            </w:pPr>
            <w:r>
              <w:rPr>
                <w:rFonts w:ascii="Arial" w:hAnsi="Arial" w:cs="Arial"/>
              </w:rPr>
              <w:t>A list of students with outstanding debt at the end of the financial year will be provided to Registry prior to any graduation ceremony.</w:t>
            </w:r>
          </w:p>
          <w:p w14:paraId="1E6B9F33" w14:textId="2E525347" w:rsidR="00210D79" w:rsidRDefault="00210D79" w:rsidP="00210D79">
            <w:pPr>
              <w:jc w:val="both"/>
              <w:rPr>
                <w:rFonts w:ascii="Arial" w:hAnsi="Arial" w:cs="Arial"/>
              </w:rPr>
            </w:pPr>
          </w:p>
          <w:p w14:paraId="44861748" w14:textId="01034496" w:rsidR="00210D79" w:rsidRPr="00210D79" w:rsidRDefault="00210D79" w:rsidP="00210D79">
            <w:pPr>
              <w:jc w:val="both"/>
              <w:rPr>
                <w:rFonts w:ascii="Arial" w:hAnsi="Arial" w:cs="Arial"/>
              </w:rPr>
            </w:pPr>
            <w:r w:rsidRPr="00210D79">
              <w:rPr>
                <w:rFonts w:ascii="Arial" w:hAnsi="Arial" w:cs="Arial"/>
              </w:rPr>
              <w:t>For non-academic debt or commercial debt payment terms are 30 days from date of invoice. Accounts not paid within 30 days are in default and a series of overdue correspondence will be issued to customers (by post or email, or both).</w:t>
            </w:r>
          </w:p>
          <w:p w14:paraId="6737F268" w14:textId="77777777" w:rsidR="00210D79" w:rsidRPr="00210D79" w:rsidRDefault="00210D79" w:rsidP="00210D79">
            <w:pPr>
              <w:pStyle w:val="ListParagraph"/>
              <w:numPr>
                <w:ilvl w:val="0"/>
                <w:numId w:val="13"/>
              </w:numPr>
              <w:spacing w:after="160" w:line="259" w:lineRule="auto"/>
              <w:ind w:left="0" w:firstLine="352"/>
              <w:jc w:val="both"/>
              <w:rPr>
                <w:rFonts w:ascii="Arial" w:hAnsi="Arial" w:cs="Arial"/>
              </w:rPr>
            </w:pPr>
            <w:r w:rsidRPr="00210D79">
              <w:rPr>
                <w:rFonts w:ascii="Arial" w:hAnsi="Arial" w:cs="Arial"/>
              </w:rPr>
              <w:t>A first reminder will be issued as soon as the payment terms date has been exceeded.</w:t>
            </w:r>
          </w:p>
          <w:p w14:paraId="685B6408" w14:textId="77777777" w:rsidR="00210D79" w:rsidRPr="00210D79" w:rsidRDefault="00210D79" w:rsidP="00210D79">
            <w:pPr>
              <w:pStyle w:val="ListParagraph"/>
              <w:numPr>
                <w:ilvl w:val="0"/>
                <w:numId w:val="13"/>
              </w:numPr>
              <w:spacing w:after="160" w:line="259" w:lineRule="auto"/>
              <w:ind w:left="720" w:hanging="368"/>
              <w:jc w:val="both"/>
              <w:rPr>
                <w:rFonts w:ascii="Arial" w:hAnsi="Arial" w:cs="Arial"/>
              </w:rPr>
            </w:pPr>
            <w:r w:rsidRPr="00210D79">
              <w:rPr>
                <w:rFonts w:ascii="Arial" w:hAnsi="Arial" w:cs="Arial"/>
              </w:rPr>
              <w:t>A second reminder will be issued 14 days after the 1</w:t>
            </w:r>
            <w:r w:rsidRPr="00210D79">
              <w:rPr>
                <w:rFonts w:ascii="Arial" w:hAnsi="Arial" w:cs="Arial"/>
                <w:vertAlign w:val="superscript"/>
              </w:rPr>
              <w:t>st</w:t>
            </w:r>
            <w:r w:rsidRPr="00210D79">
              <w:rPr>
                <w:rFonts w:ascii="Arial" w:hAnsi="Arial" w:cs="Arial"/>
              </w:rPr>
              <w:t xml:space="preserve"> reminder (unless the initial reminder has prompted correspondence/telephone conversations)</w:t>
            </w:r>
          </w:p>
          <w:p w14:paraId="15198876" w14:textId="77777777" w:rsidR="00210D79" w:rsidRPr="00210D79" w:rsidRDefault="00210D79" w:rsidP="00210D79">
            <w:pPr>
              <w:pStyle w:val="ListParagraph"/>
              <w:numPr>
                <w:ilvl w:val="0"/>
                <w:numId w:val="13"/>
              </w:numPr>
              <w:spacing w:after="160" w:line="259" w:lineRule="auto"/>
              <w:ind w:left="720" w:hanging="368"/>
              <w:jc w:val="both"/>
              <w:rPr>
                <w:rFonts w:ascii="Arial" w:hAnsi="Arial" w:cs="Arial"/>
              </w:rPr>
            </w:pPr>
            <w:r w:rsidRPr="00210D79">
              <w:rPr>
                <w:rFonts w:ascii="Arial" w:hAnsi="Arial" w:cs="Arial"/>
              </w:rPr>
              <w:t>A final reminder will be issued 14 days after the second reminder unless the second reminder has prompted correspondence/telephone conversations)</w:t>
            </w:r>
          </w:p>
          <w:p w14:paraId="400B9359" w14:textId="44DFF81D" w:rsidR="00E456F4" w:rsidRPr="00FE6659" w:rsidRDefault="00E456F4" w:rsidP="00FE6659">
            <w:pPr>
              <w:jc w:val="both"/>
              <w:rPr>
                <w:rFonts w:ascii="Arial" w:hAnsi="Arial" w:cs="Arial"/>
                <w:b/>
                <w:u w:val="single"/>
              </w:rPr>
            </w:pPr>
            <w:r w:rsidRPr="00FE6659">
              <w:rPr>
                <w:rFonts w:ascii="Arial" w:hAnsi="Arial" w:cs="Arial"/>
                <w:b/>
                <w:u w:val="single"/>
              </w:rPr>
              <w:t>Ways to pay fees</w:t>
            </w:r>
          </w:p>
          <w:p w14:paraId="1720A137" w14:textId="77777777" w:rsidR="00E456F4" w:rsidRPr="00FE6659" w:rsidRDefault="00E456F4" w:rsidP="00FE6659">
            <w:pPr>
              <w:jc w:val="both"/>
              <w:rPr>
                <w:rFonts w:ascii="Arial" w:hAnsi="Arial" w:cs="Arial"/>
              </w:rPr>
            </w:pPr>
            <w:r w:rsidRPr="00FE6659">
              <w:rPr>
                <w:rFonts w:ascii="Arial" w:hAnsi="Arial" w:cs="Arial"/>
              </w:rPr>
              <w:t>Fees can be paid by any of the methods listed below:</w:t>
            </w:r>
          </w:p>
          <w:p w14:paraId="59D57353" w14:textId="77777777" w:rsidR="00E456F4" w:rsidRPr="00FE6659" w:rsidRDefault="00E456F4" w:rsidP="00FE6659">
            <w:pPr>
              <w:pStyle w:val="ListParagraph"/>
              <w:numPr>
                <w:ilvl w:val="0"/>
                <w:numId w:val="8"/>
              </w:numPr>
              <w:jc w:val="both"/>
              <w:rPr>
                <w:rFonts w:ascii="Arial" w:hAnsi="Arial" w:cs="Arial"/>
              </w:rPr>
            </w:pPr>
            <w:r w:rsidRPr="00FE6659">
              <w:rPr>
                <w:rFonts w:ascii="Arial" w:hAnsi="Arial" w:cs="Arial"/>
              </w:rPr>
              <w:t>Cash</w:t>
            </w:r>
          </w:p>
          <w:p w14:paraId="6CB627C4" w14:textId="77777777" w:rsidR="00E456F4" w:rsidRPr="00FE6659" w:rsidRDefault="00E456F4" w:rsidP="00FE6659">
            <w:pPr>
              <w:pStyle w:val="ListParagraph"/>
              <w:numPr>
                <w:ilvl w:val="0"/>
                <w:numId w:val="8"/>
              </w:numPr>
              <w:jc w:val="both"/>
              <w:rPr>
                <w:rFonts w:ascii="Arial" w:hAnsi="Arial" w:cs="Arial"/>
              </w:rPr>
            </w:pPr>
            <w:r w:rsidRPr="00FE6659">
              <w:rPr>
                <w:rFonts w:ascii="Arial" w:hAnsi="Arial" w:cs="Arial"/>
              </w:rPr>
              <w:t>Cheque</w:t>
            </w:r>
          </w:p>
          <w:p w14:paraId="23208AA2" w14:textId="77777777" w:rsidR="00E456F4" w:rsidRPr="00FE6659" w:rsidRDefault="00E456F4" w:rsidP="00FE6659">
            <w:pPr>
              <w:pStyle w:val="ListParagraph"/>
              <w:numPr>
                <w:ilvl w:val="0"/>
                <w:numId w:val="8"/>
              </w:numPr>
              <w:jc w:val="both"/>
              <w:rPr>
                <w:rFonts w:ascii="Arial" w:hAnsi="Arial" w:cs="Arial"/>
              </w:rPr>
            </w:pPr>
            <w:r w:rsidRPr="00FE6659">
              <w:rPr>
                <w:rFonts w:ascii="Arial" w:hAnsi="Arial" w:cs="Arial"/>
              </w:rPr>
              <w:t>Credit or Debit Card</w:t>
            </w:r>
          </w:p>
          <w:p w14:paraId="32732937" w14:textId="77777777" w:rsidR="00E456F4" w:rsidRPr="00FE6659" w:rsidRDefault="00E456F4" w:rsidP="00FE6659">
            <w:pPr>
              <w:pStyle w:val="ListParagraph"/>
              <w:numPr>
                <w:ilvl w:val="0"/>
                <w:numId w:val="8"/>
              </w:numPr>
              <w:jc w:val="both"/>
              <w:rPr>
                <w:rFonts w:ascii="Arial" w:hAnsi="Arial" w:cs="Arial"/>
              </w:rPr>
            </w:pPr>
            <w:r w:rsidRPr="00FE6659">
              <w:rPr>
                <w:rFonts w:ascii="Arial" w:hAnsi="Arial" w:cs="Arial"/>
              </w:rPr>
              <w:t>Direct Debit</w:t>
            </w:r>
          </w:p>
          <w:p w14:paraId="0700FDF2" w14:textId="77777777" w:rsidR="00E456F4" w:rsidRPr="00FE6659" w:rsidRDefault="00E456F4" w:rsidP="00FE6659">
            <w:pPr>
              <w:pStyle w:val="ListParagraph"/>
              <w:numPr>
                <w:ilvl w:val="0"/>
                <w:numId w:val="8"/>
              </w:numPr>
              <w:jc w:val="both"/>
              <w:rPr>
                <w:rFonts w:ascii="Arial" w:hAnsi="Arial" w:cs="Arial"/>
              </w:rPr>
            </w:pPr>
            <w:r w:rsidRPr="00FE6659">
              <w:rPr>
                <w:rFonts w:ascii="Arial" w:hAnsi="Arial" w:cs="Arial"/>
              </w:rPr>
              <w:t>Direct bank transfer (against an invoice, quoting the reference number)</w:t>
            </w:r>
          </w:p>
          <w:p w14:paraId="4C1AF405" w14:textId="77777777" w:rsidR="00E456F4" w:rsidRPr="00FE6659" w:rsidRDefault="00E456F4" w:rsidP="00FE6659">
            <w:pPr>
              <w:pStyle w:val="ListParagraph"/>
              <w:numPr>
                <w:ilvl w:val="0"/>
                <w:numId w:val="8"/>
              </w:numPr>
              <w:jc w:val="both"/>
              <w:rPr>
                <w:rFonts w:ascii="Arial" w:hAnsi="Arial" w:cs="Arial"/>
              </w:rPr>
            </w:pPr>
            <w:r w:rsidRPr="00FE6659">
              <w:rPr>
                <w:rFonts w:ascii="Arial" w:hAnsi="Arial" w:cs="Arial"/>
              </w:rPr>
              <w:t>Purchase order and invoice</w:t>
            </w:r>
          </w:p>
          <w:p w14:paraId="41104C1E" w14:textId="77777777" w:rsidR="00E456F4" w:rsidRPr="00FE6659" w:rsidRDefault="00E456F4" w:rsidP="00FE6659">
            <w:pPr>
              <w:pStyle w:val="ListParagraph"/>
              <w:numPr>
                <w:ilvl w:val="0"/>
                <w:numId w:val="8"/>
              </w:numPr>
              <w:jc w:val="both"/>
              <w:rPr>
                <w:rFonts w:ascii="Arial" w:hAnsi="Arial" w:cs="Arial"/>
              </w:rPr>
            </w:pPr>
            <w:r w:rsidRPr="00FE6659">
              <w:rPr>
                <w:rFonts w:ascii="Arial" w:hAnsi="Arial" w:cs="Arial"/>
              </w:rPr>
              <w:t>Student Loans Company</w:t>
            </w:r>
          </w:p>
          <w:p w14:paraId="2944EEBF" w14:textId="77777777" w:rsidR="00E456F4" w:rsidRPr="00FE6659" w:rsidRDefault="00E456F4" w:rsidP="00FE6659">
            <w:pPr>
              <w:pStyle w:val="NoSpacing"/>
              <w:jc w:val="both"/>
              <w:rPr>
                <w:rFonts w:ascii="Arial" w:hAnsi="Arial" w:cs="Arial"/>
              </w:rPr>
            </w:pPr>
          </w:p>
          <w:p w14:paraId="5D1DC548" w14:textId="7185F62C" w:rsidR="00284B45" w:rsidRDefault="00E456F4" w:rsidP="00FE6659">
            <w:pPr>
              <w:jc w:val="both"/>
              <w:rPr>
                <w:rFonts w:ascii="Arial" w:hAnsi="Arial" w:cs="Arial"/>
              </w:rPr>
            </w:pPr>
            <w:r w:rsidRPr="00FE6659">
              <w:rPr>
                <w:rFonts w:ascii="Arial" w:hAnsi="Arial" w:cs="Arial"/>
              </w:rPr>
              <w:t xml:space="preserve">Wherever possible fee instalments </w:t>
            </w:r>
            <w:r w:rsidR="00FE6659" w:rsidRPr="00FE6659">
              <w:rPr>
                <w:rFonts w:ascii="Arial" w:hAnsi="Arial" w:cs="Arial"/>
              </w:rPr>
              <w:t>will</w:t>
            </w:r>
            <w:r w:rsidRPr="00FE6659">
              <w:rPr>
                <w:rFonts w:ascii="Arial" w:hAnsi="Arial" w:cs="Arial"/>
              </w:rPr>
              <w:t xml:space="preserve"> be collected by direct debit.</w:t>
            </w:r>
          </w:p>
          <w:p w14:paraId="48701AA4" w14:textId="219EFF9E" w:rsidR="00FE6659" w:rsidRPr="00FE6659" w:rsidRDefault="00FE6659" w:rsidP="00210D79">
            <w:pPr>
              <w:jc w:val="both"/>
              <w:rPr>
                <w:rFonts w:ascii="Arial" w:eastAsia="Arial" w:hAnsi="Arial" w:cs="Arial"/>
                <w:color w:val="FF0000"/>
              </w:rPr>
            </w:pPr>
          </w:p>
        </w:tc>
      </w:tr>
      <w:tr w:rsidR="00912591" w14:paraId="452C1FB7" w14:textId="77777777">
        <w:trPr>
          <w:trHeight w:val="397"/>
        </w:trPr>
        <w:tc>
          <w:tcPr>
            <w:tcW w:w="817" w:type="dxa"/>
            <w:shd w:val="clear" w:color="auto" w:fill="F2F2F2"/>
            <w:vAlign w:val="center"/>
          </w:tcPr>
          <w:p w14:paraId="10D1A9C2" w14:textId="77777777" w:rsidR="00912591" w:rsidRDefault="0020123D">
            <w:pPr>
              <w:rPr>
                <w:rFonts w:ascii="Arial" w:eastAsia="Arial" w:hAnsi="Arial" w:cs="Arial"/>
                <w:b/>
              </w:rPr>
            </w:pPr>
            <w:r>
              <w:rPr>
                <w:rFonts w:ascii="Arial" w:eastAsia="Arial" w:hAnsi="Arial" w:cs="Arial"/>
                <w:b/>
              </w:rPr>
              <w:lastRenderedPageBreak/>
              <w:t>6</w:t>
            </w:r>
          </w:p>
        </w:tc>
        <w:tc>
          <w:tcPr>
            <w:tcW w:w="9717" w:type="dxa"/>
            <w:gridSpan w:val="2"/>
            <w:shd w:val="clear" w:color="auto" w:fill="F2F2F2"/>
            <w:vAlign w:val="center"/>
          </w:tcPr>
          <w:p w14:paraId="566A4028" w14:textId="77777777" w:rsidR="00912591" w:rsidRDefault="0020123D">
            <w:pPr>
              <w:rPr>
                <w:rFonts w:ascii="Arial" w:eastAsia="Arial" w:hAnsi="Arial" w:cs="Arial"/>
                <w:b/>
              </w:rPr>
            </w:pPr>
            <w:r>
              <w:rPr>
                <w:rFonts w:ascii="Arial" w:eastAsia="Arial" w:hAnsi="Arial" w:cs="Arial"/>
                <w:b/>
              </w:rPr>
              <w:t>Relevant Policies and Procedures</w:t>
            </w:r>
          </w:p>
        </w:tc>
      </w:tr>
      <w:tr w:rsidR="00912591" w14:paraId="2FD1A59A" w14:textId="77777777" w:rsidTr="00DA119D">
        <w:trPr>
          <w:trHeight w:val="917"/>
        </w:trPr>
        <w:tc>
          <w:tcPr>
            <w:tcW w:w="817" w:type="dxa"/>
          </w:tcPr>
          <w:p w14:paraId="48C97982" w14:textId="77777777" w:rsidR="00912591" w:rsidRDefault="00912591">
            <w:pPr>
              <w:rPr>
                <w:rFonts w:ascii="Arial" w:eastAsia="Arial" w:hAnsi="Arial" w:cs="Arial"/>
              </w:rPr>
            </w:pPr>
          </w:p>
          <w:p w14:paraId="74475BBF" w14:textId="77777777" w:rsidR="00912591" w:rsidRDefault="0020123D">
            <w:pPr>
              <w:rPr>
                <w:rFonts w:ascii="Arial" w:eastAsia="Arial" w:hAnsi="Arial" w:cs="Arial"/>
              </w:rPr>
            </w:pPr>
            <w:r>
              <w:rPr>
                <w:rFonts w:ascii="Arial" w:eastAsia="Arial" w:hAnsi="Arial" w:cs="Arial"/>
              </w:rPr>
              <w:t>6.1</w:t>
            </w:r>
          </w:p>
        </w:tc>
        <w:tc>
          <w:tcPr>
            <w:tcW w:w="9717" w:type="dxa"/>
            <w:gridSpan w:val="2"/>
          </w:tcPr>
          <w:p w14:paraId="7097A153" w14:textId="77777777" w:rsidR="00912591" w:rsidRDefault="00912591">
            <w:pPr>
              <w:rPr>
                <w:rFonts w:ascii="Arial" w:eastAsia="Arial" w:hAnsi="Arial" w:cs="Arial"/>
              </w:rPr>
            </w:pPr>
          </w:p>
          <w:p w14:paraId="411D201A" w14:textId="77777777" w:rsidR="00912591" w:rsidRPr="00247804" w:rsidRDefault="00247804" w:rsidP="00247804">
            <w:pPr>
              <w:pStyle w:val="ListParagraph"/>
              <w:numPr>
                <w:ilvl w:val="0"/>
                <w:numId w:val="5"/>
              </w:numPr>
              <w:ind w:hanging="720"/>
              <w:rPr>
                <w:rFonts w:ascii="Arial" w:eastAsia="Arial" w:hAnsi="Arial" w:cs="Arial"/>
                <w:color w:val="000000" w:themeColor="text1"/>
              </w:rPr>
            </w:pPr>
            <w:r w:rsidRPr="00247804">
              <w:rPr>
                <w:rFonts w:ascii="Arial" w:eastAsia="Arial" w:hAnsi="Arial" w:cs="Arial"/>
                <w:color w:val="000000" w:themeColor="text1"/>
              </w:rPr>
              <w:t>Tuition &amp; Examination Fees Policy</w:t>
            </w:r>
          </w:p>
          <w:p w14:paraId="0414DF92" w14:textId="5B4EE171" w:rsidR="00247804" w:rsidRPr="00247804" w:rsidRDefault="00247804" w:rsidP="00247804">
            <w:pPr>
              <w:pStyle w:val="ListParagraph"/>
              <w:numPr>
                <w:ilvl w:val="0"/>
                <w:numId w:val="5"/>
              </w:numPr>
              <w:ind w:hanging="720"/>
              <w:rPr>
                <w:rFonts w:ascii="Arial" w:eastAsia="Arial" w:hAnsi="Arial" w:cs="Arial"/>
              </w:rPr>
            </w:pPr>
            <w:r w:rsidRPr="00247804">
              <w:rPr>
                <w:rFonts w:ascii="Arial" w:eastAsia="Arial" w:hAnsi="Arial" w:cs="Arial"/>
                <w:color w:val="000000" w:themeColor="text1"/>
              </w:rPr>
              <w:t>Financial Regulations</w:t>
            </w:r>
          </w:p>
        </w:tc>
      </w:tr>
      <w:tr w:rsidR="00912591" w14:paraId="017B374D" w14:textId="77777777">
        <w:trPr>
          <w:trHeight w:val="397"/>
        </w:trPr>
        <w:tc>
          <w:tcPr>
            <w:tcW w:w="817" w:type="dxa"/>
            <w:shd w:val="clear" w:color="auto" w:fill="F2F2F2"/>
            <w:vAlign w:val="center"/>
          </w:tcPr>
          <w:p w14:paraId="18CADC50" w14:textId="77777777" w:rsidR="00912591" w:rsidRDefault="0020123D">
            <w:pPr>
              <w:rPr>
                <w:rFonts w:ascii="Arial" w:eastAsia="Arial" w:hAnsi="Arial" w:cs="Arial"/>
                <w:b/>
              </w:rPr>
            </w:pPr>
            <w:r>
              <w:rPr>
                <w:rFonts w:ascii="Arial" w:eastAsia="Arial" w:hAnsi="Arial" w:cs="Arial"/>
                <w:b/>
              </w:rPr>
              <w:t>7</w:t>
            </w:r>
          </w:p>
        </w:tc>
        <w:tc>
          <w:tcPr>
            <w:tcW w:w="9717" w:type="dxa"/>
            <w:gridSpan w:val="2"/>
            <w:shd w:val="clear" w:color="auto" w:fill="F2F2F2"/>
            <w:vAlign w:val="center"/>
          </w:tcPr>
          <w:p w14:paraId="3972BAF6" w14:textId="77777777" w:rsidR="00912591" w:rsidRDefault="0020123D">
            <w:pPr>
              <w:rPr>
                <w:rFonts w:ascii="Arial" w:eastAsia="Arial" w:hAnsi="Arial" w:cs="Arial"/>
                <w:b/>
              </w:rPr>
            </w:pPr>
            <w:bookmarkStart w:id="1" w:name="_heading=h.gjdgxs" w:colFirst="0" w:colLast="0"/>
            <w:bookmarkEnd w:id="1"/>
            <w:r>
              <w:rPr>
                <w:rFonts w:ascii="Arial" w:eastAsia="Arial" w:hAnsi="Arial" w:cs="Arial"/>
                <w:b/>
              </w:rPr>
              <w:t>Who to Contact with Queries</w:t>
            </w:r>
          </w:p>
        </w:tc>
      </w:tr>
      <w:tr w:rsidR="00912591" w14:paraId="3C2AE3BF" w14:textId="77777777">
        <w:trPr>
          <w:trHeight w:val="1415"/>
        </w:trPr>
        <w:tc>
          <w:tcPr>
            <w:tcW w:w="817" w:type="dxa"/>
          </w:tcPr>
          <w:p w14:paraId="6F0546D5" w14:textId="77777777" w:rsidR="00912591" w:rsidRDefault="00912591">
            <w:pPr>
              <w:rPr>
                <w:rFonts w:ascii="Arial" w:eastAsia="Arial" w:hAnsi="Arial" w:cs="Arial"/>
              </w:rPr>
            </w:pPr>
          </w:p>
          <w:p w14:paraId="387B4C9F" w14:textId="77777777" w:rsidR="00912591" w:rsidRDefault="0020123D">
            <w:pPr>
              <w:rPr>
                <w:rFonts w:ascii="Arial" w:eastAsia="Arial" w:hAnsi="Arial" w:cs="Arial"/>
              </w:rPr>
            </w:pPr>
            <w:r>
              <w:rPr>
                <w:rFonts w:ascii="Arial" w:eastAsia="Arial" w:hAnsi="Arial" w:cs="Arial"/>
              </w:rPr>
              <w:t>7.1</w:t>
            </w:r>
          </w:p>
        </w:tc>
        <w:tc>
          <w:tcPr>
            <w:tcW w:w="9717" w:type="dxa"/>
            <w:gridSpan w:val="2"/>
          </w:tcPr>
          <w:p w14:paraId="6D373CB6" w14:textId="77777777" w:rsidR="00912591" w:rsidRDefault="00912591">
            <w:pPr>
              <w:rPr>
                <w:rFonts w:ascii="Arial" w:eastAsia="Arial" w:hAnsi="Arial" w:cs="Arial"/>
              </w:rPr>
            </w:pPr>
          </w:p>
          <w:p w14:paraId="6F44A183" w14:textId="4FD9C5F1" w:rsidR="00247804" w:rsidRDefault="00247804" w:rsidP="00247804">
            <w:pPr>
              <w:jc w:val="both"/>
              <w:rPr>
                <w:rFonts w:ascii="Arial" w:hAnsi="Arial" w:cs="Arial"/>
              </w:rPr>
            </w:pPr>
            <w:r>
              <w:rPr>
                <w:rFonts w:ascii="Arial" w:hAnsi="Arial" w:cs="Arial"/>
              </w:rPr>
              <w:t>Any queries regarding the contents of this Policy should be forwarded to the following:</w:t>
            </w:r>
          </w:p>
          <w:p w14:paraId="708B9713" w14:textId="362F9CA7" w:rsidR="000054C5" w:rsidRDefault="000054C5" w:rsidP="00247804">
            <w:pPr>
              <w:jc w:val="both"/>
              <w:rPr>
                <w:rFonts w:ascii="Arial" w:hAnsi="Arial" w:cs="Arial"/>
              </w:rPr>
            </w:pPr>
          </w:p>
          <w:p w14:paraId="5B998A1C" w14:textId="1DF7BFC4" w:rsidR="000054C5" w:rsidRDefault="000054C5" w:rsidP="00247804">
            <w:pPr>
              <w:jc w:val="both"/>
              <w:rPr>
                <w:rFonts w:ascii="Arial" w:hAnsi="Arial" w:cs="Arial"/>
                <w:b/>
                <w:bCs/>
              </w:rPr>
            </w:pPr>
            <w:r>
              <w:rPr>
                <w:rFonts w:ascii="Arial" w:hAnsi="Arial" w:cs="Arial"/>
                <w:b/>
                <w:bCs/>
              </w:rPr>
              <w:t>Barrie Shipley – Director of Finance</w:t>
            </w:r>
          </w:p>
          <w:p w14:paraId="44848D82" w14:textId="29E001AB" w:rsidR="000054C5" w:rsidRPr="00A4448A" w:rsidRDefault="00A4448A" w:rsidP="00247804">
            <w:pPr>
              <w:jc w:val="both"/>
              <w:rPr>
                <w:rFonts w:ascii="Arial" w:hAnsi="Arial" w:cs="Arial"/>
              </w:rPr>
            </w:pPr>
            <w:r>
              <w:rPr>
                <w:rFonts w:ascii="Arial" w:hAnsi="Arial" w:cs="Arial"/>
              </w:rPr>
              <w:t>Email: barrie.shipley@dncolleges.ac.uk</w:t>
            </w:r>
          </w:p>
          <w:p w14:paraId="36F5149A" w14:textId="01E2C26B" w:rsidR="00247804" w:rsidRDefault="00247804" w:rsidP="00247804">
            <w:pPr>
              <w:rPr>
                <w:rFonts w:ascii="Arial" w:hAnsi="Arial" w:cs="Arial"/>
              </w:rPr>
            </w:pPr>
          </w:p>
          <w:p w14:paraId="73243514" w14:textId="77777777" w:rsidR="00247804" w:rsidRDefault="00247804" w:rsidP="00247804">
            <w:pPr>
              <w:rPr>
                <w:rFonts w:ascii="Arial" w:hAnsi="Arial" w:cs="Arial"/>
                <w:b/>
              </w:rPr>
            </w:pPr>
            <w:r>
              <w:rPr>
                <w:rFonts w:ascii="Arial" w:hAnsi="Arial" w:cs="Arial"/>
                <w:b/>
              </w:rPr>
              <w:t>Trisha Birch - Head of Finance</w:t>
            </w:r>
          </w:p>
          <w:p w14:paraId="4F153800" w14:textId="77777777" w:rsidR="00247804" w:rsidRDefault="00247804" w:rsidP="00247804">
            <w:pPr>
              <w:rPr>
                <w:rFonts w:ascii="Arial" w:hAnsi="Arial" w:cs="Arial"/>
              </w:rPr>
            </w:pPr>
            <w:r>
              <w:rPr>
                <w:rFonts w:ascii="Arial" w:hAnsi="Arial" w:cs="Arial"/>
              </w:rPr>
              <w:t>Tel: 01302 553565</w:t>
            </w:r>
          </w:p>
          <w:p w14:paraId="7C123C07" w14:textId="77777777" w:rsidR="00247804" w:rsidRDefault="00247804" w:rsidP="00247804">
            <w:pPr>
              <w:rPr>
                <w:rFonts w:ascii="Arial" w:hAnsi="Arial" w:cs="Arial"/>
              </w:rPr>
            </w:pPr>
            <w:r>
              <w:rPr>
                <w:rFonts w:ascii="Arial" w:hAnsi="Arial" w:cs="Arial"/>
              </w:rPr>
              <w:t xml:space="preserve">Email: </w:t>
            </w:r>
            <w:hyperlink r:id="rId9" w:history="1">
              <w:r>
                <w:rPr>
                  <w:rStyle w:val="Hyperlink"/>
                  <w:rFonts w:ascii="Arial" w:hAnsi="Arial" w:cs="Arial"/>
                </w:rPr>
                <w:t>trisha.birch@don.ac.uk</w:t>
              </w:r>
            </w:hyperlink>
          </w:p>
          <w:p w14:paraId="7B2100DC" w14:textId="0E21FF7F" w:rsidR="00C328BE" w:rsidRDefault="00C328BE" w:rsidP="00247804">
            <w:pPr>
              <w:rPr>
                <w:rFonts w:ascii="Arial" w:eastAsia="Arial" w:hAnsi="Arial" w:cs="Arial"/>
              </w:rPr>
            </w:pPr>
          </w:p>
        </w:tc>
      </w:tr>
      <w:tr w:rsidR="00912591" w14:paraId="046E46F8" w14:textId="77777777">
        <w:trPr>
          <w:trHeight w:val="397"/>
        </w:trPr>
        <w:tc>
          <w:tcPr>
            <w:tcW w:w="817" w:type="dxa"/>
            <w:shd w:val="clear" w:color="auto" w:fill="F2F2F2"/>
            <w:vAlign w:val="center"/>
          </w:tcPr>
          <w:p w14:paraId="546FD88C" w14:textId="77777777" w:rsidR="00912591" w:rsidRDefault="0020123D">
            <w:pPr>
              <w:rPr>
                <w:rFonts w:ascii="Arial" w:eastAsia="Arial" w:hAnsi="Arial" w:cs="Arial"/>
                <w:b/>
              </w:rPr>
            </w:pPr>
            <w:r>
              <w:rPr>
                <w:rFonts w:ascii="Arial" w:eastAsia="Arial" w:hAnsi="Arial" w:cs="Arial"/>
                <w:b/>
              </w:rPr>
              <w:t>8</w:t>
            </w:r>
          </w:p>
        </w:tc>
        <w:tc>
          <w:tcPr>
            <w:tcW w:w="9717" w:type="dxa"/>
            <w:gridSpan w:val="2"/>
            <w:shd w:val="clear" w:color="auto" w:fill="F2F2F2"/>
            <w:vAlign w:val="center"/>
          </w:tcPr>
          <w:p w14:paraId="61D35B9B" w14:textId="77777777" w:rsidR="00912591" w:rsidRDefault="0020123D">
            <w:pPr>
              <w:rPr>
                <w:rFonts w:ascii="Arial" w:eastAsia="Arial" w:hAnsi="Arial" w:cs="Arial"/>
                <w:b/>
              </w:rPr>
            </w:pPr>
            <w:r>
              <w:rPr>
                <w:rFonts w:ascii="Arial" w:eastAsia="Arial" w:hAnsi="Arial" w:cs="Arial"/>
                <w:b/>
              </w:rPr>
              <w:t>Communication</w:t>
            </w:r>
          </w:p>
        </w:tc>
      </w:tr>
      <w:tr w:rsidR="00912591" w14:paraId="4F2CF4B8" w14:textId="77777777" w:rsidTr="00DA119D">
        <w:trPr>
          <w:trHeight w:val="1748"/>
        </w:trPr>
        <w:tc>
          <w:tcPr>
            <w:tcW w:w="817" w:type="dxa"/>
          </w:tcPr>
          <w:p w14:paraId="15A53CA9" w14:textId="77777777" w:rsidR="00912591" w:rsidRDefault="00912591">
            <w:pPr>
              <w:rPr>
                <w:rFonts w:ascii="Arial" w:eastAsia="Arial" w:hAnsi="Arial" w:cs="Arial"/>
              </w:rPr>
            </w:pPr>
          </w:p>
          <w:p w14:paraId="7F14EB71" w14:textId="77777777" w:rsidR="00912591" w:rsidRDefault="0020123D">
            <w:pPr>
              <w:rPr>
                <w:rFonts w:ascii="Arial" w:eastAsia="Arial" w:hAnsi="Arial" w:cs="Arial"/>
              </w:rPr>
            </w:pPr>
            <w:r>
              <w:rPr>
                <w:rFonts w:ascii="Arial" w:eastAsia="Arial" w:hAnsi="Arial" w:cs="Arial"/>
              </w:rPr>
              <w:t>8.1</w:t>
            </w:r>
          </w:p>
        </w:tc>
        <w:tc>
          <w:tcPr>
            <w:tcW w:w="9717" w:type="dxa"/>
            <w:gridSpan w:val="2"/>
          </w:tcPr>
          <w:p w14:paraId="60995C43" w14:textId="77777777" w:rsidR="00912591" w:rsidRDefault="00912591">
            <w:pPr>
              <w:rPr>
                <w:rFonts w:ascii="Arial" w:eastAsia="Arial" w:hAnsi="Arial" w:cs="Arial"/>
              </w:rPr>
            </w:pPr>
          </w:p>
          <w:p w14:paraId="2C19648A" w14:textId="0230A4F5" w:rsidR="00247804" w:rsidRDefault="00247804" w:rsidP="00247804">
            <w:pPr>
              <w:rPr>
                <w:rFonts w:ascii="Arial" w:hAnsi="Arial" w:cs="Arial"/>
              </w:rPr>
            </w:pPr>
            <w:r>
              <w:rPr>
                <w:rFonts w:ascii="Arial" w:hAnsi="Arial" w:cs="Arial"/>
              </w:rPr>
              <w:t>This Policy will be communicated/be available via the DN Colleges Group website(s) and the DN Colleges Group staff intranet.</w:t>
            </w:r>
          </w:p>
          <w:p w14:paraId="1F34E96D" w14:textId="4BEBCAB3" w:rsidR="00DA119D" w:rsidRDefault="00DA119D" w:rsidP="00247804">
            <w:pPr>
              <w:rPr>
                <w:rFonts w:ascii="Arial" w:hAnsi="Arial" w:cs="Arial"/>
              </w:rPr>
            </w:pPr>
          </w:p>
          <w:p w14:paraId="2FCC062D" w14:textId="77777777" w:rsidR="00DA119D" w:rsidRDefault="00DA119D" w:rsidP="00247804">
            <w:pPr>
              <w:rPr>
                <w:rFonts w:ascii="Arial" w:hAnsi="Arial" w:cs="Arial"/>
              </w:rPr>
            </w:pPr>
          </w:p>
          <w:p w14:paraId="11ED1435" w14:textId="77777777" w:rsidR="00912591" w:rsidRDefault="00912591">
            <w:pPr>
              <w:rPr>
                <w:rFonts w:ascii="Arial" w:eastAsia="Arial" w:hAnsi="Arial" w:cs="Arial"/>
              </w:rPr>
            </w:pPr>
          </w:p>
        </w:tc>
      </w:tr>
      <w:tr w:rsidR="00912591" w14:paraId="1DB2FFB3" w14:textId="77777777">
        <w:trPr>
          <w:trHeight w:val="397"/>
        </w:trPr>
        <w:tc>
          <w:tcPr>
            <w:tcW w:w="817" w:type="dxa"/>
            <w:shd w:val="clear" w:color="auto" w:fill="F2F2F2"/>
            <w:vAlign w:val="center"/>
          </w:tcPr>
          <w:p w14:paraId="0AB50AEB" w14:textId="77777777" w:rsidR="00912591" w:rsidRDefault="0020123D">
            <w:pPr>
              <w:rPr>
                <w:rFonts w:ascii="Arial" w:eastAsia="Arial" w:hAnsi="Arial" w:cs="Arial"/>
                <w:b/>
              </w:rPr>
            </w:pPr>
            <w:r>
              <w:rPr>
                <w:rFonts w:ascii="Arial" w:eastAsia="Arial" w:hAnsi="Arial" w:cs="Arial"/>
                <w:b/>
              </w:rPr>
              <w:lastRenderedPageBreak/>
              <w:t>9</w:t>
            </w:r>
          </w:p>
        </w:tc>
        <w:tc>
          <w:tcPr>
            <w:tcW w:w="9717" w:type="dxa"/>
            <w:gridSpan w:val="2"/>
            <w:shd w:val="clear" w:color="auto" w:fill="F2F2F2"/>
            <w:vAlign w:val="center"/>
          </w:tcPr>
          <w:p w14:paraId="5E708534" w14:textId="77777777" w:rsidR="00912591" w:rsidRDefault="0020123D">
            <w:pPr>
              <w:rPr>
                <w:rFonts w:ascii="Arial" w:eastAsia="Arial" w:hAnsi="Arial" w:cs="Arial"/>
                <w:b/>
              </w:rPr>
            </w:pPr>
            <w:r>
              <w:rPr>
                <w:rFonts w:ascii="Arial" w:eastAsia="Arial" w:hAnsi="Arial" w:cs="Arial"/>
                <w:b/>
              </w:rPr>
              <w:t>Authorisation</w:t>
            </w:r>
          </w:p>
        </w:tc>
      </w:tr>
      <w:tr w:rsidR="00912591" w14:paraId="3E6CCB5F" w14:textId="77777777">
        <w:trPr>
          <w:trHeight w:val="397"/>
        </w:trPr>
        <w:tc>
          <w:tcPr>
            <w:tcW w:w="2376" w:type="dxa"/>
            <w:gridSpan w:val="2"/>
            <w:vAlign w:val="center"/>
          </w:tcPr>
          <w:p w14:paraId="77082767" w14:textId="77777777" w:rsidR="00912591" w:rsidRDefault="0020123D">
            <w:pPr>
              <w:rPr>
                <w:rFonts w:ascii="Arial" w:eastAsia="Arial" w:hAnsi="Arial" w:cs="Arial"/>
              </w:rPr>
            </w:pPr>
            <w:r>
              <w:rPr>
                <w:rFonts w:ascii="Arial" w:eastAsia="Arial" w:hAnsi="Arial" w:cs="Arial"/>
              </w:rPr>
              <w:t>Policy Holder:</w:t>
            </w:r>
          </w:p>
        </w:tc>
        <w:tc>
          <w:tcPr>
            <w:tcW w:w="8158" w:type="dxa"/>
            <w:vAlign w:val="center"/>
          </w:tcPr>
          <w:p w14:paraId="0EDC8F29" w14:textId="1F0BE1D6" w:rsidR="00912591" w:rsidRPr="00C328BE" w:rsidRDefault="00C328BE">
            <w:pPr>
              <w:rPr>
                <w:rFonts w:ascii="Arial" w:eastAsia="Arial" w:hAnsi="Arial" w:cs="Arial"/>
                <w:color w:val="000000" w:themeColor="text1"/>
              </w:rPr>
            </w:pPr>
            <w:r w:rsidRPr="00C328BE">
              <w:rPr>
                <w:rFonts w:ascii="Arial" w:eastAsia="Arial" w:hAnsi="Arial" w:cs="Arial"/>
                <w:color w:val="000000" w:themeColor="text1"/>
              </w:rPr>
              <w:t>Barrie Shipley, Director of Finance</w:t>
            </w:r>
          </w:p>
        </w:tc>
      </w:tr>
      <w:tr w:rsidR="00912591" w14:paraId="207C6C88" w14:textId="77777777">
        <w:trPr>
          <w:trHeight w:val="397"/>
        </w:trPr>
        <w:tc>
          <w:tcPr>
            <w:tcW w:w="2376" w:type="dxa"/>
            <w:gridSpan w:val="2"/>
            <w:vAlign w:val="center"/>
          </w:tcPr>
          <w:p w14:paraId="6EC2CD2E" w14:textId="77777777" w:rsidR="00912591" w:rsidRDefault="0020123D">
            <w:pPr>
              <w:rPr>
                <w:rFonts w:ascii="Arial" w:eastAsia="Arial" w:hAnsi="Arial" w:cs="Arial"/>
              </w:rPr>
            </w:pPr>
            <w:r>
              <w:rPr>
                <w:rFonts w:ascii="Arial" w:eastAsia="Arial" w:hAnsi="Arial" w:cs="Arial"/>
              </w:rPr>
              <w:t>Approval Committee:</w:t>
            </w:r>
          </w:p>
        </w:tc>
        <w:tc>
          <w:tcPr>
            <w:tcW w:w="8158" w:type="dxa"/>
            <w:vAlign w:val="center"/>
          </w:tcPr>
          <w:p w14:paraId="42465D77" w14:textId="70B303E0" w:rsidR="00912591" w:rsidRPr="00C328BE" w:rsidRDefault="00C328BE">
            <w:pPr>
              <w:rPr>
                <w:rFonts w:ascii="Arial" w:eastAsia="Arial" w:hAnsi="Arial" w:cs="Arial"/>
                <w:color w:val="000000" w:themeColor="text1"/>
              </w:rPr>
            </w:pPr>
            <w:r w:rsidRPr="00C328BE">
              <w:rPr>
                <w:rFonts w:ascii="Arial" w:eastAsia="Arial" w:hAnsi="Arial" w:cs="Arial"/>
                <w:color w:val="000000" w:themeColor="text1"/>
              </w:rPr>
              <w:t>Senior Leadership Team</w:t>
            </w:r>
          </w:p>
        </w:tc>
      </w:tr>
      <w:tr w:rsidR="00912591" w14:paraId="095764BB" w14:textId="77777777">
        <w:trPr>
          <w:trHeight w:val="397"/>
        </w:trPr>
        <w:tc>
          <w:tcPr>
            <w:tcW w:w="2376" w:type="dxa"/>
            <w:gridSpan w:val="2"/>
            <w:vAlign w:val="center"/>
          </w:tcPr>
          <w:p w14:paraId="605C7020" w14:textId="77777777" w:rsidR="00912591" w:rsidRDefault="0020123D">
            <w:pPr>
              <w:rPr>
                <w:rFonts w:ascii="Arial" w:eastAsia="Arial" w:hAnsi="Arial" w:cs="Arial"/>
              </w:rPr>
            </w:pPr>
            <w:r>
              <w:rPr>
                <w:rFonts w:ascii="Arial" w:eastAsia="Arial" w:hAnsi="Arial" w:cs="Arial"/>
              </w:rPr>
              <w:t>Approval Date:</w:t>
            </w:r>
          </w:p>
        </w:tc>
        <w:tc>
          <w:tcPr>
            <w:tcW w:w="8158" w:type="dxa"/>
            <w:vAlign w:val="center"/>
          </w:tcPr>
          <w:p w14:paraId="554669D8" w14:textId="5EA9D6CA" w:rsidR="00C328BE" w:rsidRDefault="00C328BE">
            <w:pPr>
              <w:rPr>
                <w:rFonts w:ascii="Arial" w:eastAsia="Arial" w:hAnsi="Arial" w:cs="Arial"/>
              </w:rPr>
            </w:pPr>
          </w:p>
        </w:tc>
      </w:tr>
      <w:tr w:rsidR="00C328BE" w14:paraId="1C9B7811" w14:textId="77777777">
        <w:trPr>
          <w:trHeight w:val="397"/>
        </w:trPr>
        <w:tc>
          <w:tcPr>
            <w:tcW w:w="2376" w:type="dxa"/>
            <w:gridSpan w:val="2"/>
            <w:vAlign w:val="center"/>
          </w:tcPr>
          <w:p w14:paraId="528A1D10" w14:textId="25883A50" w:rsidR="00C328BE" w:rsidRDefault="00C328BE">
            <w:pPr>
              <w:rPr>
                <w:rFonts w:ascii="Arial" w:eastAsia="Arial" w:hAnsi="Arial" w:cs="Arial"/>
              </w:rPr>
            </w:pPr>
            <w:r>
              <w:rPr>
                <w:rFonts w:ascii="Arial" w:eastAsia="Arial" w:hAnsi="Arial" w:cs="Arial"/>
              </w:rPr>
              <w:t>Implementation Date:</w:t>
            </w:r>
          </w:p>
        </w:tc>
        <w:tc>
          <w:tcPr>
            <w:tcW w:w="8158" w:type="dxa"/>
            <w:vAlign w:val="center"/>
          </w:tcPr>
          <w:p w14:paraId="1789CD73" w14:textId="79021B59" w:rsidR="00C328BE" w:rsidRDefault="00C328BE">
            <w:pPr>
              <w:rPr>
                <w:rFonts w:ascii="Arial" w:eastAsia="Arial" w:hAnsi="Arial" w:cs="Arial"/>
              </w:rPr>
            </w:pPr>
            <w:r>
              <w:rPr>
                <w:rFonts w:ascii="Arial" w:eastAsia="Arial" w:hAnsi="Arial" w:cs="Arial"/>
              </w:rPr>
              <w:t>01 August 2021</w:t>
            </w:r>
          </w:p>
        </w:tc>
      </w:tr>
      <w:tr w:rsidR="00912591" w14:paraId="2867CA38" w14:textId="77777777">
        <w:trPr>
          <w:trHeight w:val="397"/>
        </w:trPr>
        <w:tc>
          <w:tcPr>
            <w:tcW w:w="2376" w:type="dxa"/>
            <w:gridSpan w:val="2"/>
            <w:vAlign w:val="center"/>
          </w:tcPr>
          <w:p w14:paraId="78C00491" w14:textId="77777777" w:rsidR="00912591" w:rsidRDefault="0020123D">
            <w:pPr>
              <w:rPr>
                <w:rFonts w:ascii="Arial" w:eastAsia="Arial" w:hAnsi="Arial" w:cs="Arial"/>
              </w:rPr>
            </w:pPr>
            <w:r>
              <w:rPr>
                <w:rFonts w:ascii="Arial" w:eastAsia="Arial" w:hAnsi="Arial" w:cs="Arial"/>
              </w:rPr>
              <w:t>Next Review Date:</w:t>
            </w:r>
          </w:p>
        </w:tc>
        <w:tc>
          <w:tcPr>
            <w:tcW w:w="8158" w:type="dxa"/>
            <w:vAlign w:val="center"/>
          </w:tcPr>
          <w:p w14:paraId="797C1613" w14:textId="0C50D872" w:rsidR="00912591" w:rsidRDefault="00C328BE">
            <w:pPr>
              <w:rPr>
                <w:rFonts w:ascii="Arial" w:eastAsia="Arial" w:hAnsi="Arial" w:cs="Arial"/>
              </w:rPr>
            </w:pPr>
            <w:r>
              <w:rPr>
                <w:rFonts w:ascii="Arial" w:eastAsia="Arial" w:hAnsi="Arial" w:cs="Arial"/>
              </w:rPr>
              <w:t>01 August 2024</w:t>
            </w:r>
          </w:p>
        </w:tc>
      </w:tr>
    </w:tbl>
    <w:p w14:paraId="06830E25" w14:textId="77777777" w:rsidR="00912591" w:rsidRDefault="00912591">
      <w:pPr>
        <w:spacing w:after="0" w:line="240" w:lineRule="auto"/>
        <w:rPr>
          <w:rFonts w:ascii="Arial" w:eastAsia="Arial" w:hAnsi="Arial" w:cs="Arial"/>
        </w:rPr>
      </w:pPr>
    </w:p>
    <w:p w14:paraId="6CC26579" w14:textId="77777777" w:rsidR="00912591" w:rsidRDefault="00912591">
      <w:pPr>
        <w:spacing w:after="0" w:line="240" w:lineRule="auto"/>
        <w:rPr>
          <w:rFonts w:ascii="Arial" w:eastAsia="Arial" w:hAnsi="Arial" w:cs="Arial"/>
        </w:rPr>
      </w:pPr>
    </w:p>
    <w:sectPr w:rsidR="00912591" w:rsidSect="00DA119D">
      <w:footerReference w:type="default" r:id="rId10"/>
      <w:footerReference w:type="first" r:id="rId11"/>
      <w:pgSz w:w="11906" w:h="16838"/>
      <w:pgMar w:top="1247" w:right="794" w:bottom="851" w:left="79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63617" w14:textId="77777777" w:rsidR="00D70849" w:rsidRDefault="00D70849">
      <w:pPr>
        <w:spacing w:after="0" w:line="240" w:lineRule="auto"/>
      </w:pPr>
      <w:r>
        <w:separator/>
      </w:r>
    </w:p>
  </w:endnote>
  <w:endnote w:type="continuationSeparator" w:id="0">
    <w:p w14:paraId="634CB363" w14:textId="77777777" w:rsidR="00D70849" w:rsidRDefault="00D70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D37C" w14:textId="479B7273" w:rsidR="00912591" w:rsidRDefault="0020123D">
    <w:pPr>
      <w:pBdr>
        <w:top w:val="nil"/>
        <w:left w:val="nil"/>
        <w:bottom w:val="nil"/>
        <w:right w:val="nil"/>
        <w:between w:val="nil"/>
      </w:pBdr>
      <w:tabs>
        <w:tab w:val="center" w:pos="4513"/>
        <w:tab w:val="right" w:pos="9026"/>
      </w:tabs>
      <w:spacing w:after="0" w:line="240" w:lineRule="auto"/>
      <w:jc w:val="center"/>
      <w:rPr>
        <w:rFonts w:eastAsia="Calibri"/>
        <w:color w:val="000000"/>
      </w:rPr>
    </w:pPr>
    <w:r>
      <w:rPr>
        <w:rFonts w:eastAsia="Calibri"/>
        <w:color w:val="000000"/>
      </w:rPr>
      <w:t xml:space="preserve">Page </w:t>
    </w:r>
    <w:r>
      <w:rPr>
        <w:rFonts w:eastAsia="Calibri"/>
        <w:b/>
        <w:color w:val="000000"/>
        <w:sz w:val="24"/>
        <w:szCs w:val="24"/>
      </w:rPr>
      <w:fldChar w:fldCharType="begin"/>
    </w:r>
    <w:r>
      <w:rPr>
        <w:rFonts w:eastAsia="Calibri"/>
        <w:b/>
        <w:color w:val="000000"/>
        <w:sz w:val="24"/>
        <w:szCs w:val="24"/>
      </w:rPr>
      <w:instrText>PAGE</w:instrText>
    </w:r>
    <w:r>
      <w:rPr>
        <w:rFonts w:eastAsia="Calibri"/>
        <w:b/>
        <w:color w:val="000000"/>
        <w:sz w:val="24"/>
        <w:szCs w:val="24"/>
      </w:rPr>
      <w:fldChar w:fldCharType="separate"/>
    </w:r>
    <w:r w:rsidR="005F329D">
      <w:rPr>
        <w:rFonts w:eastAsia="Calibri"/>
        <w:b/>
        <w:noProof/>
        <w:color w:val="000000"/>
        <w:sz w:val="24"/>
        <w:szCs w:val="24"/>
      </w:rPr>
      <w:t>4</w:t>
    </w:r>
    <w:r>
      <w:rPr>
        <w:rFonts w:eastAsia="Calibri"/>
        <w:b/>
        <w:color w:val="000000"/>
        <w:sz w:val="24"/>
        <w:szCs w:val="24"/>
      </w:rPr>
      <w:fldChar w:fldCharType="end"/>
    </w:r>
    <w:r>
      <w:rPr>
        <w:rFonts w:eastAsia="Calibri"/>
        <w:color w:val="000000"/>
      </w:rPr>
      <w:t xml:space="preserve"> of </w:t>
    </w:r>
    <w:r>
      <w:rPr>
        <w:rFonts w:eastAsia="Calibri"/>
        <w:b/>
        <w:color w:val="000000"/>
        <w:sz w:val="24"/>
        <w:szCs w:val="24"/>
      </w:rPr>
      <w:fldChar w:fldCharType="begin"/>
    </w:r>
    <w:r>
      <w:rPr>
        <w:rFonts w:eastAsia="Calibri"/>
        <w:b/>
        <w:color w:val="000000"/>
        <w:sz w:val="24"/>
        <w:szCs w:val="24"/>
      </w:rPr>
      <w:instrText>NUMPAGES</w:instrText>
    </w:r>
    <w:r>
      <w:rPr>
        <w:rFonts w:eastAsia="Calibri"/>
        <w:b/>
        <w:color w:val="000000"/>
        <w:sz w:val="24"/>
        <w:szCs w:val="24"/>
      </w:rPr>
      <w:fldChar w:fldCharType="separate"/>
    </w:r>
    <w:r w:rsidR="005F329D">
      <w:rPr>
        <w:rFonts w:eastAsia="Calibri"/>
        <w:b/>
        <w:noProof/>
        <w:color w:val="000000"/>
        <w:sz w:val="24"/>
        <w:szCs w:val="24"/>
      </w:rPr>
      <w:t>6</w:t>
    </w:r>
    <w:r>
      <w:rPr>
        <w:rFonts w:eastAsia="Calibri"/>
        <w:b/>
        <w:color w:val="000000"/>
        <w:sz w:val="24"/>
        <w:szCs w:val="24"/>
      </w:rPr>
      <w:fldChar w:fldCharType="end"/>
    </w:r>
  </w:p>
  <w:p w14:paraId="111B29BF" w14:textId="77777777" w:rsidR="00912591" w:rsidRDefault="00912591">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1F022" w14:textId="77777777" w:rsidR="00912591" w:rsidRDefault="00912591">
    <w:pPr>
      <w:pBdr>
        <w:top w:val="nil"/>
        <w:left w:val="nil"/>
        <w:bottom w:val="nil"/>
        <w:right w:val="nil"/>
        <w:between w:val="nil"/>
      </w:pBdr>
      <w:tabs>
        <w:tab w:val="center" w:pos="4513"/>
        <w:tab w:val="right" w:pos="9026"/>
      </w:tabs>
      <w:spacing w:after="0" w:line="240" w:lineRule="auto"/>
      <w:jc w:val="center"/>
      <w:rPr>
        <w:rFonts w:eastAsia="Calibri"/>
        <w:color w:val="000000"/>
      </w:rPr>
    </w:pPr>
  </w:p>
  <w:p w14:paraId="6CE606C4" w14:textId="77777777" w:rsidR="00912591" w:rsidRDefault="00912591">
    <w:pPr>
      <w:pBdr>
        <w:top w:val="nil"/>
        <w:left w:val="nil"/>
        <w:bottom w:val="nil"/>
        <w:right w:val="nil"/>
        <w:between w:val="nil"/>
      </w:pBdr>
      <w:tabs>
        <w:tab w:val="center" w:pos="4513"/>
        <w:tab w:val="right" w:pos="9026"/>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42516" w14:textId="77777777" w:rsidR="00D70849" w:rsidRDefault="00D70849">
      <w:pPr>
        <w:spacing w:after="0" w:line="240" w:lineRule="auto"/>
      </w:pPr>
      <w:r>
        <w:separator/>
      </w:r>
    </w:p>
  </w:footnote>
  <w:footnote w:type="continuationSeparator" w:id="0">
    <w:p w14:paraId="17F3A3A9" w14:textId="77777777" w:rsidR="00D70849" w:rsidRDefault="00D70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FF7"/>
    <w:multiLevelType w:val="hybridMultilevel"/>
    <w:tmpl w:val="F37EB3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06DED"/>
    <w:multiLevelType w:val="hybridMultilevel"/>
    <w:tmpl w:val="CB62EA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C9321D"/>
    <w:multiLevelType w:val="multilevel"/>
    <w:tmpl w:val="9278696C"/>
    <w:lvl w:ilvl="0">
      <w:start w:val="6"/>
      <w:numFmt w:val="decimal"/>
      <w:lvlText w:val="%1"/>
      <w:lvlJc w:val="left"/>
      <w:pPr>
        <w:ind w:left="360" w:hanging="360"/>
      </w:pPr>
      <w:rPr>
        <w:rFonts w:hint="default"/>
        <w:b w:val="0"/>
        <w:sz w:val="24"/>
      </w:rPr>
    </w:lvl>
    <w:lvl w:ilvl="1">
      <w:start w:val="1"/>
      <w:numFmt w:val="decimal"/>
      <w:lvlText w:val="%1.%2"/>
      <w:lvlJc w:val="left"/>
      <w:pPr>
        <w:ind w:left="1080" w:hanging="720"/>
      </w:pPr>
      <w:rPr>
        <w:rFonts w:hint="default"/>
        <w:b w:val="0"/>
        <w:sz w:val="24"/>
      </w:rPr>
    </w:lvl>
    <w:lvl w:ilvl="2">
      <w:start w:val="1"/>
      <w:numFmt w:val="decimal"/>
      <w:lvlText w:val="%1.%2.%3"/>
      <w:lvlJc w:val="left"/>
      <w:pPr>
        <w:ind w:left="1800" w:hanging="1080"/>
      </w:pPr>
      <w:rPr>
        <w:rFonts w:hint="default"/>
        <w:b w:val="0"/>
        <w:sz w:val="24"/>
      </w:rPr>
    </w:lvl>
    <w:lvl w:ilvl="3">
      <w:start w:val="1"/>
      <w:numFmt w:val="decimal"/>
      <w:lvlText w:val="%1.%2.%3.%4"/>
      <w:lvlJc w:val="left"/>
      <w:pPr>
        <w:ind w:left="2520" w:hanging="1440"/>
      </w:pPr>
      <w:rPr>
        <w:rFonts w:hint="default"/>
        <w:b w:val="0"/>
        <w:sz w:val="24"/>
      </w:rPr>
    </w:lvl>
    <w:lvl w:ilvl="4">
      <w:start w:val="1"/>
      <w:numFmt w:val="decimal"/>
      <w:lvlText w:val="%1.%2.%3.%4.%5"/>
      <w:lvlJc w:val="left"/>
      <w:pPr>
        <w:ind w:left="3240" w:hanging="1800"/>
      </w:pPr>
      <w:rPr>
        <w:rFonts w:hint="default"/>
        <w:b w:val="0"/>
        <w:sz w:val="24"/>
      </w:rPr>
    </w:lvl>
    <w:lvl w:ilvl="5">
      <w:start w:val="1"/>
      <w:numFmt w:val="decimal"/>
      <w:lvlText w:val="%1.%2.%3.%4.%5.%6"/>
      <w:lvlJc w:val="left"/>
      <w:pPr>
        <w:ind w:left="3960" w:hanging="2160"/>
      </w:pPr>
      <w:rPr>
        <w:rFonts w:hint="default"/>
        <w:b w:val="0"/>
        <w:sz w:val="24"/>
      </w:rPr>
    </w:lvl>
    <w:lvl w:ilvl="6">
      <w:start w:val="1"/>
      <w:numFmt w:val="decimal"/>
      <w:lvlText w:val="%1.%2.%3.%4.%5.%6.%7"/>
      <w:lvlJc w:val="left"/>
      <w:pPr>
        <w:ind w:left="4680" w:hanging="2520"/>
      </w:pPr>
      <w:rPr>
        <w:rFonts w:hint="default"/>
        <w:b w:val="0"/>
        <w:sz w:val="24"/>
      </w:rPr>
    </w:lvl>
    <w:lvl w:ilvl="7">
      <w:start w:val="1"/>
      <w:numFmt w:val="decimal"/>
      <w:lvlText w:val="%1.%2.%3.%4.%5.%6.%7.%8"/>
      <w:lvlJc w:val="left"/>
      <w:pPr>
        <w:ind w:left="5400" w:hanging="2880"/>
      </w:pPr>
      <w:rPr>
        <w:rFonts w:hint="default"/>
        <w:b w:val="0"/>
        <w:sz w:val="24"/>
      </w:rPr>
    </w:lvl>
    <w:lvl w:ilvl="8">
      <w:start w:val="1"/>
      <w:numFmt w:val="decimal"/>
      <w:lvlText w:val="%1.%2.%3.%4.%5.%6.%7.%8.%9"/>
      <w:lvlJc w:val="left"/>
      <w:pPr>
        <w:ind w:left="6120" w:hanging="3240"/>
      </w:pPr>
      <w:rPr>
        <w:rFonts w:hint="default"/>
        <w:b w:val="0"/>
        <w:sz w:val="24"/>
      </w:rPr>
    </w:lvl>
  </w:abstractNum>
  <w:abstractNum w:abstractNumId="3" w15:restartNumberingAfterBreak="0">
    <w:nsid w:val="3F6B1DA6"/>
    <w:multiLevelType w:val="hybridMultilevel"/>
    <w:tmpl w:val="2960C3F4"/>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4" w15:restartNumberingAfterBreak="0">
    <w:nsid w:val="415A547F"/>
    <w:multiLevelType w:val="hybridMultilevel"/>
    <w:tmpl w:val="9A345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D5E4A1D"/>
    <w:multiLevelType w:val="hybridMultilevel"/>
    <w:tmpl w:val="02862D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73249B"/>
    <w:multiLevelType w:val="multilevel"/>
    <w:tmpl w:val="09BCF4D2"/>
    <w:lvl w:ilvl="0">
      <w:start w:val="1"/>
      <w:numFmt w:val="decimal"/>
      <w:pStyle w:val="Policy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Policynormal2"/>
      <w:lvlText w:val="%3."/>
      <w:lvlJc w:val="left"/>
      <w:pPr>
        <w:tabs>
          <w:tab w:val="num" w:pos="2160"/>
        </w:tabs>
        <w:ind w:left="2160" w:hanging="720"/>
      </w:pPr>
    </w:lvl>
    <w:lvl w:ilvl="3">
      <w:start w:val="1"/>
      <w:numFmt w:val="decimal"/>
      <w:pStyle w:val="Policynormal3"/>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4852165"/>
    <w:multiLevelType w:val="hybridMultilevel"/>
    <w:tmpl w:val="BCA4729C"/>
    <w:lvl w:ilvl="0" w:tplc="193EE78E">
      <w:start w:val="1"/>
      <w:numFmt w:val="lowerLetter"/>
      <w:lvlText w:val="%1)"/>
      <w:lvlJc w:val="left"/>
      <w:pPr>
        <w:ind w:left="854" w:hanging="360"/>
      </w:pPr>
      <w:rPr>
        <w:rFonts w:hint="default"/>
      </w:rPr>
    </w:lvl>
    <w:lvl w:ilvl="1" w:tplc="08090019" w:tentative="1">
      <w:start w:val="1"/>
      <w:numFmt w:val="lowerLetter"/>
      <w:lvlText w:val="%2."/>
      <w:lvlJc w:val="left"/>
      <w:pPr>
        <w:ind w:left="1574" w:hanging="360"/>
      </w:pPr>
    </w:lvl>
    <w:lvl w:ilvl="2" w:tplc="0809001B" w:tentative="1">
      <w:start w:val="1"/>
      <w:numFmt w:val="lowerRoman"/>
      <w:lvlText w:val="%3."/>
      <w:lvlJc w:val="right"/>
      <w:pPr>
        <w:ind w:left="2294" w:hanging="180"/>
      </w:pPr>
    </w:lvl>
    <w:lvl w:ilvl="3" w:tplc="0809000F" w:tentative="1">
      <w:start w:val="1"/>
      <w:numFmt w:val="decimal"/>
      <w:lvlText w:val="%4."/>
      <w:lvlJc w:val="left"/>
      <w:pPr>
        <w:ind w:left="3014" w:hanging="360"/>
      </w:pPr>
    </w:lvl>
    <w:lvl w:ilvl="4" w:tplc="08090019" w:tentative="1">
      <w:start w:val="1"/>
      <w:numFmt w:val="lowerLetter"/>
      <w:lvlText w:val="%5."/>
      <w:lvlJc w:val="left"/>
      <w:pPr>
        <w:ind w:left="3734" w:hanging="360"/>
      </w:pPr>
    </w:lvl>
    <w:lvl w:ilvl="5" w:tplc="0809001B" w:tentative="1">
      <w:start w:val="1"/>
      <w:numFmt w:val="lowerRoman"/>
      <w:lvlText w:val="%6."/>
      <w:lvlJc w:val="right"/>
      <w:pPr>
        <w:ind w:left="4454" w:hanging="180"/>
      </w:pPr>
    </w:lvl>
    <w:lvl w:ilvl="6" w:tplc="0809000F" w:tentative="1">
      <w:start w:val="1"/>
      <w:numFmt w:val="decimal"/>
      <w:lvlText w:val="%7."/>
      <w:lvlJc w:val="left"/>
      <w:pPr>
        <w:ind w:left="5174" w:hanging="360"/>
      </w:pPr>
    </w:lvl>
    <w:lvl w:ilvl="7" w:tplc="08090019" w:tentative="1">
      <w:start w:val="1"/>
      <w:numFmt w:val="lowerLetter"/>
      <w:lvlText w:val="%8."/>
      <w:lvlJc w:val="left"/>
      <w:pPr>
        <w:ind w:left="5894" w:hanging="360"/>
      </w:pPr>
    </w:lvl>
    <w:lvl w:ilvl="8" w:tplc="0809001B" w:tentative="1">
      <w:start w:val="1"/>
      <w:numFmt w:val="lowerRoman"/>
      <w:lvlText w:val="%9."/>
      <w:lvlJc w:val="right"/>
      <w:pPr>
        <w:ind w:left="6614" w:hanging="180"/>
      </w:pPr>
    </w:lvl>
  </w:abstractNum>
  <w:abstractNum w:abstractNumId="8" w15:restartNumberingAfterBreak="0">
    <w:nsid w:val="6C706545"/>
    <w:multiLevelType w:val="hybridMultilevel"/>
    <w:tmpl w:val="B5DE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F2B75"/>
    <w:multiLevelType w:val="hybridMultilevel"/>
    <w:tmpl w:val="E31439C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A0017E1"/>
    <w:multiLevelType w:val="hybridMultilevel"/>
    <w:tmpl w:val="9E8CE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10"/>
  </w:num>
  <w:num w:numId="7">
    <w:abstractNumId w:val="4"/>
  </w:num>
  <w:num w:numId="8">
    <w:abstractNumId w:val="1"/>
  </w:num>
  <w:num w:numId="9">
    <w:abstractNumId w:val="2"/>
  </w:num>
  <w:num w:numId="10">
    <w:abstractNumId w:val="0"/>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591"/>
    <w:rsid w:val="000054C5"/>
    <w:rsid w:val="0011501D"/>
    <w:rsid w:val="00180E9E"/>
    <w:rsid w:val="001B6FA1"/>
    <w:rsid w:val="0020123D"/>
    <w:rsid w:val="00210D79"/>
    <w:rsid w:val="00247804"/>
    <w:rsid w:val="00284B45"/>
    <w:rsid w:val="00302168"/>
    <w:rsid w:val="00370AE6"/>
    <w:rsid w:val="003C43A3"/>
    <w:rsid w:val="0051259B"/>
    <w:rsid w:val="00515D2D"/>
    <w:rsid w:val="00523180"/>
    <w:rsid w:val="005A424E"/>
    <w:rsid w:val="005F329D"/>
    <w:rsid w:val="0061715C"/>
    <w:rsid w:val="00734A74"/>
    <w:rsid w:val="00785E19"/>
    <w:rsid w:val="00873F32"/>
    <w:rsid w:val="00912591"/>
    <w:rsid w:val="009211D4"/>
    <w:rsid w:val="00A4448A"/>
    <w:rsid w:val="00C13691"/>
    <w:rsid w:val="00C328BE"/>
    <w:rsid w:val="00D70849"/>
    <w:rsid w:val="00DA119D"/>
    <w:rsid w:val="00DB519D"/>
    <w:rsid w:val="00DC7AD9"/>
    <w:rsid w:val="00E456F4"/>
    <w:rsid w:val="00EA4DE8"/>
    <w:rsid w:val="00FC369A"/>
    <w:rsid w:val="00FC6C18"/>
    <w:rsid w:val="00FE6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06A7"/>
  <w15:docId w15:val="{DBCA8015-EDF5-49FD-B447-A2E66A7A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FA2"/>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olicylist1">
    <w:name w:val="Policy list1"/>
    <w:basedOn w:val="Normal"/>
    <w:qFormat/>
    <w:rsid w:val="00446F02"/>
    <w:pPr>
      <w:numPr>
        <w:numId w:val="1"/>
      </w:numPr>
    </w:pPr>
  </w:style>
  <w:style w:type="table" w:styleId="TableGrid">
    <w:name w:val="Table Grid"/>
    <w:basedOn w:val="TableNormal"/>
    <w:uiPriority w:val="59"/>
    <w:rsid w:val="00F95FA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tyle1">
    <w:name w:val="Normal Style1"/>
    <w:basedOn w:val="Normal"/>
    <w:uiPriority w:val="99"/>
    <w:rsid w:val="00F95FA2"/>
    <w:rPr>
      <w:rFonts w:ascii="Arial" w:eastAsia="Times New Roman" w:hAnsi="Arial" w:cs="Times New Roman"/>
      <w:lang w:val="en-US"/>
    </w:rPr>
  </w:style>
  <w:style w:type="character" w:styleId="Hyperlink">
    <w:name w:val="Hyperlink"/>
    <w:basedOn w:val="DefaultParagraphFont"/>
    <w:uiPriority w:val="99"/>
    <w:unhideWhenUsed/>
    <w:rsid w:val="00F95FA2"/>
    <w:rPr>
      <w:color w:val="0000FF" w:themeColor="hyperlink"/>
      <w:u w:val="single"/>
    </w:rPr>
  </w:style>
  <w:style w:type="paragraph" w:styleId="Header">
    <w:name w:val="header"/>
    <w:basedOn w:val="Normal"/>
    <w:link w:val="HeaderChar"/>
    <w:uiPriority w:val="99"/>
    <w:unhideWhenUsed/>
    <w:rsid w:val="00F95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FA2"/>
    <w:rPr>
      <w:rFonts w:eastAsiaTheme="minorEastAsia"/>
      <w:lang w:eastAsia="en-GB"/>
    </w:rPr>
  </w:style>
  <w:style w:type="paragraph" w:styleId="Footer">
    <w:name w:val="footer"/>
    <w:basedOn w:val="Normal"/>
    <w:link w:val="FooterChar"/>
    <w:uiPriority w:val="99"/>
    <w:unhideWhenUsed/>
    <w:rsid w:val="00F95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FA2"/>
    <w:rPr>
      <w:rFonts w:eastAsiaTheme="minorEastAsia"/>
      <w:lang w:eastAsia="en-GB"/>
    </w:rPr>
  </w:style>
  <w:style w:type="paragraph" w:customStyle="1" w:styleId="Policyheader">
    <w:name w:val="Policy header"/>
    <w:basedOn w:val="Normal"/>
    <w:next w:val="Index1"/>
    <w:qFormat/>
    <w:rsid w:val="00F95FA2"/>
    <w:pPr>
      <w:spacing w:before="200"/>
      <w:ind w:left="680" w:hanging="680"/>
    </w:pPr>
    <w:rPr>
      <w:b/>
    </w:rPr>
  </w:style>
  <w:style w:type="paragraph" w:customStyle="1" w:styleId="Policynormal">
    <w:name w:val="Policy normal"/>
    <w:basedOn w:val="Index1"/>
    <w:link w:val="PolicynormalChar"/>
    <w:qFormat/>
    <w:rsid w:val="00F95FA2"/>
    <w:pPr>
      <w:spacing w:after="200"/>
      <w:ind w:left="680" w:hanging="680"/>
    </w:pPr>
  </w:style>
  <w:style w:type="character" w:customStyle="1" w:styleId="PolicynormalChar">
    <w:name w:val="Policy normal Char"/>
    <w:basedOn w:val="DefaultParagraphFont"/>
    <w:link w:val="Policynormal"/>
    <w:rsid w:val="00F95FA2"/>
    <w:rPr>
      <w:rFonts w:eastAsiaTheme="minorEastAsia"/>
      <w:lang w:eastAsia="en-GB"/>
    </w:rPr>
  </w:style>
  <w:style w:type="paragraph" w:customStyle="1" w:styleId="Policynormal2">
    <w:name w:val="Policy normal2"/>
    <w:basedOn w:val="Policynormal"/>
    <w:link w:val="Policynormal2Char"/>
    <w:autoRedefine/>
    <w:qFormat/>
    <w:rsid w:val="00F95FA2"/>
    <w:pPr>
      <w:numPr>
        <w:ilvl w:val="2"/>
        <w:numId w:val="2"/>
      </w:numPr>
      <w:spacing w:after="60"/>
      <w:ind w:firstLine="28"/>
    </w:pPr>
  </w:style>
  <w:style w:type="paragraph" w:customStyle="1" w:styleId="Policynormal3">
    <w:name w:val="Policy normal3"/>
    <w:basedOn w:val="Policynormal2"/>
    <w:link w:val="Policynormal3Char"/>
    <w:autoRedefine/>
    <w:qFormat/>
    <w:rsid w:val="00F95FA2"/>
    <w:pPr>
      <w:numPr>
        <w:ilvl w:val="3"/>
        <w:numId w:val="3"/>
      </w:numPr>
      <w:ind w:left="1134" w:hanging="425"/>
    </w:pPr>
  </w:style>
  <w:style w:type="character" w:customStyle="1" w:styleId="Policynormal2Char">
    <w:name w:val="Policy normal2 Char"/>
    <w:basedOn w:val="DefaultParagraphFont"/>
    <w:link w:val="Policynormal2"/>
    <w:rsid w:val="00F95FA2"/>
    <w:rPr>
      <w:rFonts w:eastAsiaTheme="minorEastAsia"/>
      <w:lang w:eastAsia="en-GB"/>
    </w:rPr>
  </w:style>
  <w:style w:type="character" w:customStyle="1" w:styleId="Policynormal3Char">
    <w:name w:val="Policy normal3 Char"/>
    <w:basedOn w:val="Policynormal2Char"/>
    <w:link w:val="Policynormal3"/>
    <w:rsid w:val="00F95FA2"/>
    <w:rPr>
      <w:rFonts w:eastAsiaTheme="minorEastAsia"/>
      <w:lang w:eastAsia="en-GB"/>
    </w:rPr>
  </w:style>
  <w:style w:type="paragraph" w:styleId="NormalWeb">
    <w:name w:val="Normal (Web)"/>
    <w:basedOn w:val="Normal"/>
    <w:uiPriority w:val="99"/>
    <w:unhideWhenUsed/>
    <w:rsid w:val="00F95FA2"/>
    <w:pPr>
      <w:spacing w:before="100" w:beforeAutospacing="1" w:after="100" w:afterAutospacing="1" w:line="240" w:lineRule="auto"/>
    </w:pPr>
    <w:rPr>
      <w:rFonts w:ascii="Times New Roman" w:hAnsi="Times New Roman" w:cs="Times New Roman"/>
      <w:sz w:val="24"/>
      <w:szCs w:val="24"/>
    </w:rPr>
  </w:style>
  <w:style w:type="paragraph" w:styleId="Index1">
    <w:name w:val="index 1"/>
    <w:basedOn w:val="Normal"/>
    <w:next w:val="Normal"/>
    <w:autoRedefine/>
    <w:uiPriority w:val="99"/>
    <w:semiHidden/>
    <w:unhideWhenUsed/>
    <w:rsid w:val="00F95FA2"/>
    <w:pPr>
      <w:spacing w:after="0" w:line="240" w:lineRule="auto"/>
      <w:ind w:left="220" w:hanging="220"/>
    </w:pPr>
  </w:style>
  <w:style w:type="paragraph" w:styleId="BalloonText">
    <w:name w:val="Balloon Text"/>
    <w:basedOn w:val="Normal"/>
    <w:link w:val="BalloonTextChar"/>
    <w:uiPriority w:val="99"/>
    <w:semiHidden/>
    <w:unhideWhenUsed/>
    <w:rsid w:val="00F9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A2"/>
    <w:rPr>
      <w:rFonts w:ascii="Tahoma" w:eastAsiaTheme="minorEastAsia" w:hAnsi="Tahoma" w:cs="Tahoma"/>
      <w:sz w:val="16"/>
      <w:szCs w:val="16"/>
      <w:lang w:eastAsia="en-GB"/>
    </w:rPr>
  </w:style>
  <w:style w:type="paragraph" w:styleId="ListParagraph">
    <w:name w:val="List Paragraph"/>
    <w:basedOn w:val="Normal"/>
    <w:uiPriority w:val="34"/>
    <w:qFormat/>
    <w:rsid w:val="00BC52E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E456F4"/>
    <w:rPr>
      <w:sz w:val="16"/>
      <w:szCs w:val="16"/>
    </w:rPr>
  </w:style>
  <w:style w:type="paragraph" w:styleId="CommentText">
    <w:name w:val="annotation text"/>
    <w:basedOn w:val="Normal"/>
    <w:link w:val="CommentTextChar"/>
    <w:uiPriority w:val="99"/>
    <w:unhideWhenUsed/>
    <w:rsid w:val="00E456F4"/>
    <w:pPr>
      <w:spacing w:line="240" w:lineRule="auto"/>
    </w:pPr>
    <w:rPr>
      <w:sz w:val="20"/>
      <w:szCs w:val="20"/>
    </w:rPr>
  </w:style>
  <w:style w:type="character" w:customStyle="1" w:styleId="CommentTextChar">
    <w:name w:val="Comment Text Char"/>
    <w:basedOn w:val="DefaultParagraphFont"/>
    <w:link w:val="CommentText"/>
    <w:uiPriority w:val="99"/>
    <w:rsid w:val="00E456F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456F4"/>
    <w:rPr>
      <w:b/>
      <w:bCs/>
    </w:rPr>
  </w:style>
  <w:style w:type="character" w:customStyle="1" w:styleId="CommentSubjectChar">
    <w:name w:val="Comment Subject Char"/>
    <w:basedOn w:val="CommentTextChar"/>
    <w:link w:val="CommentSubject"/>
    <w:uiPriority w:val="99"/>
    <w:semiHidden/>
    <w:rsid w:val="00E456F4"/>
    <w:rPr>
      <w:rFonts w:eastAsiaTheme="minorEastAsia"/>
      <w:b/>
      <w:bCs/>
      <w:sz w:val="20"/>
      <w:szCs w:val="20"/>
    </w:rPr>
  </w:style>
  <w:style w:type="paragraph" w:styleId="NoSpacing">
    <w:name w:val="No Spacing"/>
    <w:uiPriority w:val="1"/>
    <w:qFormat/>
    <w:rsid w:val="00E456F4"/>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496694">
      <w:bodyDiv w:val="1"/>
      <w:marLeft w:val="0"/>
      <w:marRight w:val="0"/>
      <w:marTop w:val="0"/>
      <w:marBottom w:val="0"/>
      <w:divBdr>
        <w:top w:val="none" w:sz="0" w:space="0" w:color="auto"/>
        <w:left w:val="none" w:sz="0" w:space="0" w:color="auto"/>
        <w:bottom w:val="none" w:sz="0" w:space="0" w:color="auto"/>
        <w:right w:val="none" w:sz="0" w:space="0" w:color="auto"/>
      </w:divBdr>
    </w:div>
    <w:div w:id="1394625660">
      <w:bodyDiv w:val="1"/>
      <w:marLeft w:val="0"/>
      <w:marRight w:val="0"/>
      <w:marTop w:val="0"/>
      <w:marBottom w:val="0"/>
      <w:divBdr>
        <w:top w:val="none" w:sz="0" w:space="0" w:color="auto"/>
        <w:left w:val="none" w:sz="0" w:space="0" w:color="auto"/>
        <w:bottom w:val="none" w:sz="0" w:space="0" w:color="auto"/>
        <w:right w:val="none" w:sz="0" w:space="0" w:color="auto"/>
      </w:divBdr>
    </w:div>
    <w:div w:id="1623462235">
      <w:bodyDiv w:val="1"/>
      <w:marLeft w:val="0"/>
      <w:marRight w:val="0"/>
      <w:marTop w:val="0"/>
      <w:marBottom w:val="0"/>
      <w:divBdr>
        <w:top w:val="none" w:sz="0" w:space="0" w:color="auto"/>
        <w:left w:val="none" w:sz="0" w:space="0" w:color="auto"/>
        <w:bottom w:val="none" w:sz="0" w:space="0" w:color="auto"/>
        <w:right w:val="none" w:sz="0" w:space="0" w:color="auto"/>
      </w:divBdr>
    </w:div>
    <w:div w:id="1633369221">
      <w:bodyDiv w:val="1"/>
      <w:marLeft w:val="0"/>
      <w:marRight w:val="0"/>
      <w:marTop w:val="0"/>
      <w:marBottom w:val="0"/>
      <w:divBdr>
        <w:top w:val="none" w:sz="0" w:space="0" w:color="auto"/>
        <w:left w:val="none" w:sz="0" w:space="0" w:color="auto"/>
        <w:bottom w:val="none" w:sz="0" w:space="0" w:color="auto"/>
        <w:right w:val="none" w:sz="0" w:space="0" w:color="auto"/>
      </w:divBdr>
    </w:div>
    <w:div w:id="1687633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sha.birch@d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3HsDMfqUtP7dCOb6SgFI6S84A==">AMUW2mXt5Mghfe+gj5+zA9urVT4XgacL2BnD/Sr7DGf2NV0mESjdb0zM6ZDjzXoRgp2rK6OtGL0nyRveR6wSP6BId/INQWAFeMRx1CW5yQVUxWvd3x8nYDLvx7v63E8iIL/w5t273OVR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 </cp:lastModifiedBy>
  <cp:revision>2</cp:revision>
  <dcterms:created xsi:type="dcterms:W3CDTF">2021-05-19T21:26:00Z</dcterms:created>
  <dcterms:modified xsi:type="dcterms:W3CDTF">2021-05-19T21:26:00Z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0x0101008603BB0610E9E848AE2747E3BA6AFCD2</vt:lpwstr>
  </property>
</Properties>
</file>